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8" w:type="pct"/>
        <w:tblLook w:val="04A0" w:firstRow="1" w:lastRow="0" w:firstColumn="1" w:lastColumn="0" w:noHBand="0" w:noVBand="1"/>
      </w:tblPr>
      <w:tblGrid>
        <w:gridCol w:w="2676"/>
        <w:gridCol w:w="3679"/>
        <w:gridCol w:w="438"/>
        <w:gridCol w:w="2676"/>
      </w:tblGrid>
      <w:tr w:rsidR="001640DA" w:rsidRPr="00B80E25" w14:paraId="4A5043DD" w14:textId="77777777" w:rsidTr="002D2F55">
        <w:tc>
          <w:tcPr>
            <w:tcW w:w="6355" w:type="dxa"/>
            <w:gridSpan w:val="2"/>
            <w:tcBorders>
              <w:bottom w:val="single" w:sz="4" w:space="0" w:color="auto"/>
            </w:tcBorders>
          </w:tcPr>
          <w:p w14:paraId="3BB433CD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>TATE OF NEW YORK</w:t>
            </w:r>
          </w:p>
          <w:p w14:paraId="0B341F16" w14:textId="77777777" w:rsidR="001640DA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9939C6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DIVISION OF TAX APPEALS</w:t>
            </w:r>
          </w:p>
          <w:p w14:paraId="364A5645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</w:tcPr>
          <w:p w14:paraId="5CDC59C6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14:paraId="0C6CF06D" w14:textId="599278EA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0DA" w:rsidRPr="00B80E25" w14:paraId="077E2EF0" w14:textId="77777777" w:rsidTr="002D2F55">
        <w:tc>
          <w:tcPr>
            <w:tcW w:w="6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84CF5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BCF40C" w14:textId="52945033" w:rsidR="001640DA" w:rsidRPr="00B80E25" w:rsidRDefault="001640DA" w:rsidP="002D2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In the Matter of the Petition</w:t>
            </w:r>
            <w:r w:rsidR="00A04767">
              <w:rPr>
                <w:rFonts w:ascii="Times New Roman" w:hAnsi="Times New Roman"/>
                <w:sz w:val="24"/>
                <w:szCs w:val="24"/>
              </w:rPr>
              <w:t>s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B4E2C" w14:textId="77777777" w:rsidR="001640DA" w:rsidRPr="00B80E25" w:rsidRDefault="001640DA" w:rsidP="002D2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2B158" w14:textId="77777777" w:rsidR="001640DA" w:rsidRPr="00B80E25" w:rsidRDefault="001640DA" w:rsidP="002D2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of</w:t>
            </w:r>
          </w:p>
          <w:p w14:paraId="6AFA621F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932158" w14:textId="66320819" w:rsidR="001640DA" w:rsidRDefault="00A04767" w:rsidP="002D2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33013594"/>
            <w:r>
              <w:rPr>
                <w:rFonts w:ascii="Times New Roman" w:hAnsi="Times New Roman"/>
                <w:b/>
                <w:sz w:val="24"/>
                <w:szCs w:val="24"/>
              </w:rPr>
              <w:t>WEST 2OTH STREET</w:t>
            </w:r>
            <w:r w:rsidR="00FD280B">
              <w:rPr>
                <w:rFonts w:ascii="Times New Roman" w:hAnsi="Times New Roman"/>
                <w:b/>
                <w:sz w:val="24"/>
                <w:szCs w:val="24"/>
              </w:rPr>
              <w:t xml:space="preserve"> ENTERPRISES CORPORATION</w:t>
            </w:r>
          </w:p>
          <w:p w14:paraId="2E7E6047" w14:textId="183439FB" w:rsidR="00A04767" w:rsidRDefault="00A04767" w:rsidP="002D2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PACIFIC CLUB HOLDINGS, INC.</w:t>
            </w:r>
          </w:p>
          <w:p w14:paraId="6EC87155" w14:textId="26A1183E" w:rsidR="00A04767" w:rsidRDefault="00A04767" w:rsidP="002D2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SUSHI FUN DINING &amp; CATERING, INC.</w:t>
            </w:r>
          </w:p>
          <w:p w14:paraId="0D2BD5FF" w14:textId="58B711F1" w:rsidR="00A04767" w:rsidRPr="00322891" w:rsidRDefault="002213F0" w:rsidP="002D2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="00A04767">
              <w:rPr>
                <w:rFonts w:ascii="Times New Roman" w:hAnsi="Times New Roman"/>
                <w:b/>
                <w:sz w:val="24"/>
                <w:szCs w:val="24"/>
              </w:rPr>
              <w:t>DOMINICA O’NEILL</w:t>
            </w:r>
          </w:p>
          <w:bookmarkEnd w:id="0"/>
          <w:p w14:paraId="0172FDF8" w14:textId="15DA2415" w:rsidR="001640DA" w:rsidRPr="00B80E25" w:rsidRDefault="00DD712A" w:rsidP="00DD712A">
            <w:pPr>
              <w:tabs>
                <w:tab w:val="left" w:pos="9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385D422" w14:textId="1F8C3B4E" w:rsidR="001640DA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bookmarkStart w:id="1" w:name="_Hlk34398748"/>
            <w:r w:rsidRPr="00B80E25">
              <w:rPr>
                <w:rFonts w:ascii="Times New Roman" w:hAnsi="Times New Roman"/>
                <w:sz w:val="24"/>
                <w:szCs w:val="24"/>
              </w:rPr>
              <w:t>Re</w:t>
            </w:r>
            <w:r w:rsidR="00B16ADF">
              <w:rPr>
                <w:rFonts w:ascii="Times New Roman" w:hAnsi="Times New Roman"/>
                <w:sz w:val="24"/>
                <w:szCs w:val="24"/>
              </w:rPr>
              <w:t>vision of Determinations 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Refund</w:t>
            </w:r>
            <w:r w:rsidR="00FD280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ADF">
              <w:rPr>
                <w:rFonts w:ascii="Times New Roman" w:hAnsi="Times New Roman"/>
                <w:sz w:val="24"/>
                <w:szCs w:val="24"/>
              </w:rPr>
              <w:t>New York</w:t>
            </w:r>
            <w:r w:rsidR="00780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27E94E" w14:textId="61CBEF22" w:rsidR="00174287" w:rsidRPr="00B80E25" w:rsidRDefault="001640DA" w:rsidP="00780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 </w:t>
            </w:r>
            <w:r w:rsidR="00B16ADF">
              <w:rPr>
                <w:rFonts w:ascii="Times New Roman" w:hAnsi="Times New Roman"/>
                <w:sz w:val="24"/>
                <w:szCs w:val="24"/>
              </w:rPr>
              <w:t>Sales and 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Taxes Under 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>Article</w:t>
            </w:r>
            <w:r w:rsidR="00B16AD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16ADF">
              <w:rPr>
                <w:rFonts w:ascii="Times New Roman" w:hAnsi="Times New Roman"/>
                <w:sz w:val="24"/>
                <w:szCs w:val="24"/>
              </w:rPr>
              <w:t xml:space="preserve">8 and 29 of 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>the</w:t>
            </w:r>
            <w:r w:rsidR="00B16ADF">
              <w:rPr>
                <w:rFonts w:ascii="Times New Roman" w:hAnsi="Times New Roman"/>
                <w:sz w:val="24"/>
                <w:szCs w:val="24"/>
              </w:rPr>
              <w:t xml:space="preserve"> Tax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 xml:space="preserve"> Law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the </w:t>
            </w:r>
            <w:r w:rsidR="00B16ADF">
              <w:rPr>
                <w:rFonts w:ascii="Times New Roman" w:hAnsi="Times New Roman"/>
                <w:sz w:val="24"/>
                <w:szCs w:val="24"/>
              </w:rPr>
              <w:t>period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r w:rsidR="00FD280B">
              <w:rPr>
                <w:rFonts w:ascii="Times New Roman" w:hAnsi="Times New Roman"/>
                <w:sz w:val="24"/>
                <w:szCs w:val="24"/>
              </w:rPr>
              <w:t>December 1</w:t>
            </w:r>
            <w:r w:rsidR="00AC436C">
              <w:rPr>
                <w:rFonts w:ascii="Times New Roman" w:hAnsi="Times New Roman"/>
                <w:sz w:val="24"/>
                <w:szCs w:val="24"/>
              </w:rPr>
              <w:t>, 20</w:t>
            </w:r>
            <w:r w:rsidR="00FD280B">
              <w:rPr>
                <w:rFonts w:ascii="Times New Roman" w:hAnsi="Times New Roman"/>
                <w:sz w:val="24"/>
                <w:szCs w:val="24"/>
              </w:rPr>
              <w:t>0</w:t>
            </w:r>
            <w:r w:rsidR="00AC436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FD280B">
              <w:rPr>
                <w:rFonts w:ascii="Times New Roman" w:hAnsi="Times New Roman"/>
                <w:sz w:val="24"/>
                <w:szCs w:val="24"/>
              </w:rPr>
              <w:t>thr</w:t>
            </w:r>
            <w:r w:rsidR="00C809A1">
              <w:rPr>
                <w:rFonts w:ascii="Times New Roman" w:hAnsi="Times New Roman"/>
                <w:sz w:val="24"/>
                <w:szCs w:val="24"/>
              </w:rPr>
              <w:t>ough</w:t>
            </w:r>
            <w:r w:rsidR="00AC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80B">
              <w:rPr>
                <w:rFonts w:ascii="Times New Roman" w:hAnsi="Times New Roman"/>
                <w:sz w:val="24"/>
                <w:szCs w:val="24"/>
              </w:rPr>
              <w:t>November 30</w:t>
            </w:r>
            <w:r w:rsidR="00AC43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002C" w:rsidRPr="0078002C">
              <w:rPr>
                <w:rFonts w:ascii="Times New Roman" w:hAnsi="Times New Roman"/>
                <w:sz w:val="24"/>
                <w:szCs w:val="24"/>
              </w:rPr>
              <w:t>2013</w:t>
            </w:r>
            <w:r w:rsidR="00AC43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" w:type="dxa"/>
            <w:shd w:val="clear" w:color="auto" w:fill="auto"/>
            <w:tcMar>
              <w:left w:w="0" w:type="dxa"/>
              <w:right w:w="115" w:type="dxa"/>
            </w:tcMar>
          </w:tcPr>
          <w:p w14:paraId="062E2939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F01D4D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A0EDE7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D3675C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10B99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296E692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18176C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14786C5" w14:textId="77777777" w:rsidR="001640DA" w:rsidRPr="00B80E25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67C2D" w14:textId="02D736A4" w:rsidR="001640DA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96ABCB" w14:textId="77777777" w:rsidR="001640DA" w:rsidRDefault="001640DA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4D144A" w14:textId="610BA0C6" w:rsidR="00174287" w:rsidRDefault="00174287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18A487C" w14:textId="77777777" w:rsidR="00174287" w:rsidRDefault="00174287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6A982" w14:textId="671025E2" w:rsidR="00AC436C" w:rsidRPr="00B80E25" w:rsidRDefault="00AC436C" w:rsidP="002D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C51ADED" w14:textId="7A6BA7C8" w:rsidR="001640DA" w:rsidRPr="00B80E25" w:rsidRDefault="00B16ADF" w:rsidP="002D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ORDER</w:t>
            </w:r>
          </w:p>
          <w:p w14:paraId="748FA2F5" w14:textId="4963DECC" w:rsidR="001640DA" w:rsidRDefault="001640DA" w:rsidP="002D2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0E25">
              <w:rPr>
                <w:rFonts w:ascii="Times New Roman" w:hAnsi="Times New Roman"/>
                <w:sz w:val="24"/>
                <w:szCs w:val="24"/>
              </w:rPr>
              <w:t>DTA NO</w:t>
            </w:r>
            <w:r w:rsidR="00A04767">
              <w:rPr>
                <w:rFonts w:ascii="Times New Roman" w:hAnsi="Times New Roman"/>
                <w:sz w:val="24"/>
                <w:szCs w:val="24"/>
              </w:rPr>
              <w:t>S</w:t>
            </w:r>
            <w:r w:rsidRPr="00B80E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FE1EA0">
              <w:rPr>
                <w:rFonts w:ascii="Times New Roman" w:hAnsi="Times New Roman"/>
                <w:sz w:val="24"/>
                <w:szCs w:val="24"/>
              </w:rPr>
              <w:t>8</w:t>
            </w:r>
            <w:r w:rsidR="00A04767">
              <w:rPr>
                <w:rFonts w:ascii="Times New Roman" w:hAnsi="Times New Roman"/>
                <w:sz w:val="24"/>
                <w:szCs w:val="24"/>
              </w:rPr>
              <w:t>472, 828473, 828474 AND</w:t>
            </w:r>
          </w:p>
          <w:p w14:paraId="448A44CC" w14:textId="1D07C399" w:rsidR="00A04767" w:rsidRPr="00B80E25" w:rsidRDefault="00A04767" w:rsidP="002D2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828475</w:t>
            </w:r>
          </w:p>
        </w:tc>
      </w:tr>
      <w:tr w:rsidR="001640DA" w:rsidRPr="00B80E25" w14:paraId="11C1C3CD" w14:textId="77777777" w:rsidTr="002D2F55">
        <w:trPr>
          <w:gridAfter w:val="3"/>
          <w:wAfter w:w="6793" w:type="dxa"/>
        </w:trPr>
        <w:tc>
          <w:tcPr>
            <w:tcW w:w="2676" w:type="dxa"/>
            <w:shd w:val="clear" w:color="auto" w:fill="auto"/>
            <w:vAlign w:val="center"/>
          </w:tcPr>
          <w:p w14:paraId="0EDB6516" w14:textId="1E513F0E" w:rsidR="001640DA" w:rsidRPr="00B80E25" w:rsidRDefault="001640DA" w:rsidP="002D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815BE6" w14:textId="0AF238D4" w:rsidR="00877F58" w:rsidRDefault="00B46CF3" w:rsidP="00B46CF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640DA" w:rsidRPr="00322891">
        <w:rPr>
          <w:rFonts w:ascii="Times New Roman" w:hAnsi="Times New Roman"/>
          <w:sz w:val="24"/>
          <w:szCs w:val="24"/>
        </w:rPr>
        <w:t>Petitioner</w:t>
      </w:r>
      <w:r w:rsidR="00FD280B">
        <w:rPr>
          <w:rFonts w:ascii="Times New Roman" w:hAnsi="Times New Roman"/>
          <w:sz w:val="24"/>
          <w:szCs w:val="24"/>
        </w:rPr>
        <w:t>s</w:t>
      </w:r>
      <w:r w:rsidR="001640DA">
        <w:rPr>
          <w:rFonts w:ascii="Times New Roman" w:hAnsi="Times New Roman"/>
          <w:sz w:val="24"/>
          <w:szCs w:val="24"/>
        </w:rPr>
        <w:t xml:space="preserve">, </w:t>
      </w:r>
      <w:r w:rsidR="00FD280B" w:rsidRPr="00FD280B">
        <w:rPr>
          <w:rFonts w:ascii="Times New Roman" w:hAnsi="Times New Roman"/>
          <w:sz w:val="24"/>
          <w:szCs w:val="24"/>
        </w:rPr>
        <w:t>West 2</w:t>
      </w:r>
      <w:r w:rsidR="005C6AE2">
        <w:rPr>
          <w:rFonts w:ascii="Times New Roman" w:hAnsi="Times New Roman"/>
          <w:sz w:val="24"/>
          <w:szCs w:val="24"/>
        </w:rPr>
        <w:t>0</w:t>
      </w:r>
      <w:r w:rsidR="00FD280B" w:rsidRPr="00FD280B">
        <w:rPr>
          <w:rFonts w:ascii="Times New Roman" w:hAnsi="Times New Roman"/>
          <w:sz w:val="24"/>
          <w:szCs w:val="24"/>
        </w:rPr>
        <w:t>th Street</w:t>
      </w:r>
      <w:r w:rsidR="00FD280B">
        <w:rPr>
          <w:rFonts w:ascii="Times New Roman" w:hAnsi="Times New Roman"/>
          <w:sz w:val="24"/>
          <w:szCs w:val="24"/>
        </w:rPr>
        <w:t xml:space="preserve"> Enterprises Corporation, </w:t>
      </w:r>
      <w:r w:rsidR="00FD280B" w:rsidRPr="00FD280B">
        <w:rPr>
          <w:rFonts w:ascii="Times New Roman" w:hAnsi="Times New Roman"/>
          <w:sz w:val="24"/>
          <w:szCs w:val="24"/>
        </w:rPr>
        <w:t>Pacific Club Holdings, Inc.</w:t>
      </w:r>
      <w:r w:rsidR="00FD280B">
        <w:rPr>
          <w:rFonts w:ascii="Times New Roman" w:hAnsi="Times New Roman"/>
          <w:sz w:val="24"/>
          <w:szCs w:val="24"/>
        </w:rPr>
        <w:t xml:space="preserve">, </w:t>
      </w:r>
      <w:r w:rsidR="00FD280B" w:rsidRPr="00FD280B">
        <w:rPr>
          <w:rFonts w:ascii="Times New Roman" w:hAnsi="Times New Roman"/>
          <w:sz w:val="24"/>
          <w:szCs w:val="24"/>
        </w:rPr>
        <w:t>Sushi Fun Dining &amp; Catering, Inc.</w:t>
      </w:r>
      <w:r w:rsidR="00FD280B">
        <w:rPr>
          <w:rFonts w:ascii="Times New Roman" w:hAnsi="Times New Roman"/>
          <w:sz w:val="24"/>
          <w:szCs w:val="24"/>
        </w:rPr>
        <w:t xml:space="preserve">, </w:t>
      </w:r>
      <w:r w:rsidR="0019787F">
        <w:rPr>
          <w:rFonts w:ascii="Times New Roman" w:hAnsi="Times New Roman"/>
          <w:sz w:val="24"/>
          <w:szCs w:val="24"/>
        </w:rPr>
        <w:t>a</w:t>
      </w:r>
      <w:r w:rsidR="00FD280B">
        <w:rPr>
          <w:rFonts w:ascii="Times New Roman" w:hAnsi="Times New Roman"/>
          <w:sz w:val="24"/>
          <w:szCs w:val="24"/>
        </w:rPr>
        <w:t xml:space="preserve">nd </w:t>
      </w:r>
      <w:r w:rsidR="00FD280B" w:rsidRPr="00FD280B">
        <w:rPr>
          <w:rFonts w:ascii="Times New Roman" w:hAnsi="Times New Roman"/>
          <w:sz w:val="24"/>
          <w:szCs w:val="24"/>
        </w:rPr>
        <w:t>Dominica O’</w:t>
      </w:r>
      <w:r w:rsidR="00FD280B">
        <w:rPr>
          <w:rFonts w:ascii="Times New Roman" w:hAnsi="Times New Roman"/>
          <w:sz w:val="24"/>
          <w:szCs w:val="24"/>
        </w:rPr>
        <w:t>N</w:t>
      </w:r>
      <w:r w:rsidR="00FD280B" w:rsidRPr="00FD280B">
        <w:rPr>
          <w:rFonts w:ascii="Times New Roman" w:hAnsi="Times New Roman"/>
          <w:sz w:val="24"/>
          <w:szCs w:val="24"/>
        </w:rPr>
        <w:t>eill</w:t>
      </w:r>
      <w:r w:rsidR="001640DA" w:rsidRPr="00322891">
        <w:rPr>
          <w:rFonts w:ascii="Times New Roman" w:hAnsi="Times New Roman"/>
          <w:sz w:val="24"/>
          <w:szCs w:val="24"/>
        </w:rPr>
        <w:t>, filed petition</w:t>
      </w:r>
      <w:r w:rsidR="00FD280B">
        <w:rPr>
          <w:rFonts w:ascii="Times New Roman" w:hAnsi="Times New Roman"/>
          <w:sz w:val="24"/>
          <w:szCs w:val="24"/>
        </w:rPr>
        <w:t xml:space="preserve">s </w:t>
      </w:r>
      <w:r w:rsidR="00232E5B">
        <w:rPr>
          <w:rFonts w:ascii="Times New Roman" w:hAnsi="Times New Roman"/>
          <w:sz w:val="24"/>
          <w:szCs w:val="24"/>
        </w:rPr>
        <w:t xml:space="preserve">for </w:t>
      </w:r>
      <w:r w:rsidR="001640DA">
        <w:rPr>
          <w:rFonts w:ascii="Times New Roman" w:hAnsi="Times New Roman"/>
          <w:sz w:val="24"/>
          <w:szCs w:val="24"/>
        </w:rPr>
        <w:t>r</w:t>
      </w:r>
      <w:r w:rsidR="001640DA" w:rsidRPr="00811680">
        <w:rPr>
          <w:rFonts w:ascii="Times New Roman" w:hAnsi="Times New Roman"/>
          <w:sz w:val="24"/>
          <w:szCs w:val="24"/>
        </w:rPr>
        <w:t>e</w:t>
      </w:r>
      <w:r w:rsidR="00AC436C">
        <w:rPr>
          <w:rFonts w:ascii="Times New Roman" w:hAnsi="Times New Roman"/>
          <w:sz w:val="24"/>
          <w:szCs w:val="24"/>
        </w:rPr>
        <w:t xml:space="preserve">vision of </w:t>
      </w:r>
      <w:r w:rsidR="001640DA" w:rsidRPr="00811680">
        <w:rPr>
          <w:rFonts w:ascii="Times New Roman" w:hAnsi="Times New Roman"/>
          <w:sz w:val="24"/>
          <w:szCs w:val="24"/>
        </w:rPr>
        <w:t>determination</w:t>
      </w:r>
      <w:r w:rsidR="00AC436C">
        <w:rPr>
          <w:rFonts w:ascii="Times New Roman" w:hAnsi="Times New Roman"/>
          <w:sz w:val="24"/>
          <w:szCs w:val="24"/>
        </w:rPr>
        <w:t>s</w:t>
      </w:r>
      <w:r w:rsidR="001640DA" w:rsidRPr="00811680">
        <w:rPr>
          <w:rFonts w:ascii="Times New Roman" w:hAnsi="Times New Roman"/>
          <w:sz w:val="24"/>
          <w:szCs w:val="24"/>
        </w:rPr>
        <w:t xml:space="preserve"> or for </w:t>
      </w:r>
      <w:r w:rsidR="001640DA">
        <w:rPr>
          <w:rFonts w:ascii="Times New Roman" w:hAnsi="Times New Roman"/>
          <w:sz w:val="24"/>
          <w:szCs w:val="24"/>
        </w:rPr>
        <w:t>r</w:t>
      </w:r>
      <w:r w:rsidR="001640DA" w:rsidRPr="00811680">
        <w:rPr>
          <w:rFonts w:ascii="Times New Roman" w:hAnsi="Times New Roman"/>
          <w:sz w:val="24"/>
          <w:szCs w:val="24"/>
        </w:rPr>
        <w:t>efund</w:t>
      </w:r>
      <w:r w:rsidR="00FD280B">
        <w:rPr>
          <w:rFonts w:ascii="Times New Roman" w:hAnsi="Times New Roman"/>
          <w:sz w:val="24"/>
          <w:szCs w:val="24"/>
        </w:rPr>
        <w:t>s</w:t>
      </w:r>
      <w:r w:rsidR="001640DA" w:rsidRPr="00811680">
        <w:rPr>
          <w:rFonts w:ascii="Times New Roman" w:hAnsi="Times New Roman"/>
          <w:sz w:val="24"/>
          <w:szCs w:val="24"/>
        </w:rPr>
        <w:t xml:space="preserve"> of New York State </w:t>
      </w:r>
      <w:r w:rsidR="00AC436C">
        <w:rPr>
          <w:rFonts w:ascii="Times New Roman" w:hAnsi="Times New Roman"/>
          <w:sz w:val="24"/>
          <w:szCs w:val="24"/>
        </w:rPr>
        <w:t xml:space="preserve">sales and use </w:t>
      </w:r>
      <w:r w:rsidR="001640DA">
        <w:rPr>
          <w:rFonts w:ascii="Times New Roman" w:hAnsi="Times New Roman"/>
          <w:sz w:val="24"/>
          <w:szCs w:val="24"/>
        </w:rPr>
        <w:t>t</w:t>
      </w:r>
      <w:r w:rsidR="001640DA" w:rsidRPr="00811680">
        <w:rPr>
          <w:rFonts w:ascii="Times New Roman" w:hAnsi="Times New Roman"/>
          <w:sz w:val="24"/>
          <w:szCs w:val="24"/>
        </w:rPr>
        <w:t xml:space="preserve">axes </w:t>
      </w:r>
      <w:r w:rsidR="001640DA">
        <w:rPr>
          <w:rFonts w:ascii="Times New Roman" w:hAnsi="Times New Roman"/>
          <w:sz w:val="24"/>
          <w:szCs w:val="24"/>
        </w:rPr>
        <w:t>u</w:t>
      </w:r>
      <w:r w:rsidR="001640DA" w:rsidRPr="00811680">
        <w:rPr>
          <w:rFonts w:ascii="Times New Roman" w:hAnsi="Times New Roman"/>
          <w:sz w:val="24"/>
          <w:szCs w:val="24"/>
        </w:rPr>
        <w:t xml:space="preserve">nder </w:t>
      </w:r>
      <w:r w:rsidR="001640DA">
        <w:rPr>
          <w:rFonts w:ascii="Times New Roman" w:hAnsi="Times New Roman"/>
          <w:sz w:val="24"/>
          <w:szCs w:val="24"/>
        </w:rPr>
        <w:t>a</w:t>
      </w:r>
      <w:r w:rsidR="001640DA" w:rsidRPr="00811680">
        <w:rPr>
          <w:rFonts w:ascii="Times New Roman" w:hAnsi="Times New Roman"/>
          <w:sz w:val="24"/>
          <w:szCs w:val="24"/>
        </w:rPr>
        <w:t>rticle</w:t>
      </w:r>
      <w:r w:rsidR="00AC436C">
        <w:rPr>
          <w:rFonts w:ascii="Times New Roman" w:hAnsi="Times New Roman"/>
          <w:sz w:val="24"/>
          <w:szCs w:val="24"/>
        </w:rPr>
        <w:t>s</w:t>
      </w:r>
      <w:r w:rsidR="001640DA" w:rsidRPr="00811680">
        <w:rPr>
          <w:rFonts w:ascii="Times New Roman" w:hAnsi="Times New Roman"/>
          <w:sz w:val="24"/>
          <w:szCs w:val="24"/>
        </w:rPr>
        <w:t xml:space="preserve"> 2</w:t>
      </w:r>
      <w:r w:rsidR="00AC436C">
        <w:rPr>
          <w:rFonts w:ascii="Times New Roman" w:hAnsi="Times New Roman"/>
          <w:sz w:val="24"/>
          <w:szCs w:val="24"/>
        </w:rPr>
        <w:t xml:space="preserve">8 and 29 </w:t>
      </w:r>
      <w:r w:rsidR="001640DA" w:rsidRPr="00811680">
        <w:rPr>
          <w:rFonts w:ascii="Times New Roman" w:hAnsi="Times New Roman"/>
          <w:sz w:val="24"/>
          <w:szCs w:val="24"/>
        </w:rPr>
        <w:t xml:space="preserve">of the Tax Law </w:t>
      </w:r>
      <w:r w:rsidR="00AC436C">
        <w:rPr>
          <w:rFonts w:ascii="Times New Roman" w:hAnsi="Times New Roman"/>
          <w:sz w:val="24"/>
          <w:szCs w:val="24"/>
        </w:rPr>
        <w:t>for the period</w:t>
      </w:r>
      <w:r w:rsidR="0019787F">
        <w:rPr>
          <w:rFonts w:ascii="Times New Roman" w:hAnsi="Times New Roman"/>
          <w:sz w:val="24"/>
          <w:szCs w:val="24"/>
        </w:rPr>
        <w:t xml:space="preserve"> December 1, 2007 thr</w:t>
      </w:r>
      <w:r w:rsidR="00C809A1">
        <w:rPr>
          <w:rFonts w:ascii="Times New Roman" w:hAnsi="Times New Roman"/>
          <w:sz w:val="24"/>
          <w:szCs w:val="24"/>
        </w:rPr>
        <w:t>ough</w:t>
      </w:r>
      <w:r w:rsidR="0019787F">
        <w:rPr>
          <w:rFonts w:ascii="Times New Roman" w:hAnsi="Times New Roman"/>
          <w:sz w:val="24"/>
          <w:szCs w:val="24"/>
        </w:rPr>
        <w:t xml:space="preserve"> November 30, 2013.</w:t>
      </w:r>
    </w:p>
    <w:p w14:paraId="77960C6D" w14:textId="16D0557D" w:rsidR="00013197" w:rsidRPr="002213F0" w:rsidRDefault="004C676F" w:rsidP="00B46CF3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2213F0">
        <w:rPr>
          <w:rFonts w:ascii="Times New Roman" w:hAnsi="Times New Roman"/>
          <w:sz w:val="24"/>
          <w:szCs w:val="24"/>
        </w:rPr>
        <w:tab/>
      </w:r>
      <w:r w:rsidR="00FD280B" w:rsidRPr="002213F0">
        <w:rPr>
          <w:rFonts w:ascii="Times New Roman" w:hAnsi="Times New Roman"/>
          <w:sz w:val="24"/>
          <w:szCs w:val="24"/>
        </w:rPr>
        <w:t>On Ma</w:t>
      </w:r>
      <w:r w:rsidR="00923D5E" w:rsidRPr="002213F0">
        <w:rPr>
          <w:rFonts w:ascii="Times New Roman" w:hAnsi="Times New Roman"/>
          <w:sz w:val="24"/>
          <w:szCs w:val="24"/>
        </w:rPr>
        <w:t>rch</w:t>
      </w:r>
      <w:r w:rsidR="00FD280B" w:rsidRPr="002213F0">
        <w:rPr>
          <w:rFonts w:ascii="Times New Roman" w:hAnsi="Times New Roman"/>
          <w:sz w:val="24"/>
          <w:szCs w:val="24"/>
        </w:rPr>
        <w:t xml:space="preserve"> 3</w:t>
      </w:r>
      <w:r w:rsidR="00923D5E" w:rsidRPr="002213F0">
        <w:rPr>
          <w:rFonts w:ascii="Times New Roman" w:hAnsi="Times New Roman"/>
          <w:sz w:val="24"/>
          <w:szCs w:val="24"/>
        </w:rPr>
        <w:t>0</w:t>
      </w:r>
      <w:r w:rsidR="00FD280B" w:rsidRPr="002213F0">
        <w:rPr>
          <w:rFonts w:ascii="Times New Roman" w:hAnsi="Times New Roman"/>
          <w:sz w:val="24"/>
          <w:szCs w:val="24"/>
        </w:rPr>
        <w:t>, 20</w:t>
      </w:r>
      <w:r w:rsidR="00923D5E" w:rsidRPr="002213F0">
        <w:rPr>
          <w:rFonts w:ascii="Times New Roman" w:hAnsi="Times New Roman"/>
          <w:sz w:val="24"/>
          <w:szCs w:val="24"/>
        </w:rPr>
        <w:t>20</w:t>
      </w:r>
      <w:r w:rsidR="00FD280B" w:rsidRPr="002213F0">
        <w:rPr>
          <w:rFonts w:ascii="Times New Roman" w:hAnsi="Times New Roman"/>
          <w:sz w:val="24"/>
          <w:szCs w:val="24"/>
        </w:rPr>
        <w:t xml:space="preserve"> the Division of Taxation, by its representative, Amanda Hiller, Esq. (David Gannon, Esq., of counsel), brought a motion, seeking an order modifying a subpoena served upon it in the above-captioned matter on </w:t>
      </w:r>
      <w:r w:rsidR="00923D5E" w:rsidRPr="002213F0">
        <w:rPr>
          <w:rFonts w:ascii="Times New Roman" w:hAnsi="Times New Roman"/>
          <w:sz w:val="24"/>
          <w:szCs w:val="24"/>
        </w:rPr>
        <w:t>March</w:t>
      </w:r>
      <w:r w:rsidR="00FD280B" w:rsidRPr="002213F0">
        <w:rPr>
          <w:rFonts w:ascii="Times New Roman" w:hAnsi="Times New Roman"/>
          <w:sz w:val="24"/>
          <w:szCs w:val="24"/>
        </w:rPr>
        <w:t xml:space="preserve"> </w:t>
      </w:r>
      <w:r w:rsidR="00923D5E" w:rsidRPr="002213F0">
        <w:rPr>
          <w:rFonts w:ascii="Times New Roman" w:hAnsi="Times New Roman"/>
          <w:sz w:val="24"/>
          <w:szCs w:val="24"/>
        </w:rPr>
        <w:t>19</w:t>
      </w:r>
      <w:r w:rsidR="00FD280B" w:rsidRPr="002213F0">
        <w:rPr>
          <w:rFonts w:ascii="Times New Roman" w:hAnsi="Times New Roman"/>
          <w:sz w:val="24"/>
          <w:szCs w:val="24"/>
        </w:rPr>
        <w:t>, 20</w:t>
      </w:r>
      <w:r w:rsidR="00C96596" w:rsidRPr="002213F0">
        <w:rPr>
          <w:rFonts w:ascii="Times New Roman" w:hAnsi="Times New Roman"/>
          <w:sz w:val="24"/>
          <w:szCs w:val="24"/>
        </w:rPr>
        <w:t>20</w:t>
      </w:r>
      <w:r w:rsidR="00FD280B" w:rsidRPr="002213F0">
        <w:rPr>
          <w:rFonts w:ascii="Times New Roman" w:hAnsi="Times New Roman"/>
          <w:sz w:val="24"/>
          <w:szCs w:val="24"/>
        </w:rPr>
        <w:t xml:space="preserve"> pursuant to 20 NYCRR 3000.5 and 20 NYCRR 3000.7</w:t>
      </w:r>
      <w:r w:rsidR="00923D5E" w:rsidRPr="002213F0">
        <w:rPr>
          <w:rFonts w:ascii="Times New Roman" w:hAnsi="Times New Roman"/>
          <w:sz w:val="24"/>
          <w:szCs w:val="24"/>
        </w:rPr>
        <w:t xml:space="preserve"> </w:t>
      </w:r>
      <w:r w:rsidR="00FD280B" w:rsidRPr="002213F0">
        <w:rPr>
          <w:rFonts w:ascii="Times New Roman" w:hAnsi="Times New Roman"/>
          <w:sz w:val="24"/>
          <w:szCs w:val="24"/>
        </w:rPr>
        <w:t>(c).</w:t>
      </w:r>
      <w:r w:rsidR="00923D5E" w:rsidRPr="002213F0">
        <w:rPr>
          <w:rFonts w:ascii="Times New Roman" w:hAnsi="Times New Roman"/>
          <w:sz w:val="24"/>
          <w:szCs w:val="24"/>
        </w:rPr>
        <w:t xml:space="preserve">  By request, the Division was granted permission to supplement its original motion. </w:t>
      </w:r>
      <w:r w:rsidR="00FD280B" w:rsidRPr="002213F0">
        <w:rPr>
          <w:rFonts w:ascii="Times New Roman" w:hAnsi="Times New Roman"/>
          <w:sz w:val="24"/>
          <w:szCs w:val="24"/>
        </w:rPr>
        <w:t xml:space="preserve"> Petitioner</w:t>
      </w:r>
      <w:r w:rsidR="00ED6A96" w:rsidRPr="002213F0">
        <w:rPr>
          <w:rFonts w:ascii="Times New Roman" w:hAnsi="Times New Roman"/>
          <w:sz w:val="24"/>
          <w:szCs w:val="24"/>
        </w:rPr>
        <w:t>s,</w:t>
      </w:r>
      <w:r w:rsidR="00FD280B" w:rsidRPr="002213F0">
        <w:rPr>
          <w:rFonts w:ascii="Times New Roman" w:hAnsi="Times New Roman"/>
          <w:sz w:val="24"/>
          <w:szCs w:val="24"/>
        </w:rPr>
        <w:t xml:space="preserve"> appear</w:t>
      </w:r>
      <w:r w:rsidR="00ED6A96" w:rsidRPr="002213F0">
        <w:rPr>
          <w:rFonts w:ascii="Times New Roman" w:hAnsi="Times New Roman"/>
          <w:sz w:val="24"/>
          <w:szCs w:val="24"/>
        </w:rPr>
        <w:t xml:space="preserve">ing by their </w:t>
      </w:r>
      <w:r w:rsidR="00FD280B" w:rsidRPr="002213F0">
        <w:rPr>
          <w:rFonts w:ascii="Times New Roman" w:hAnsi="Times New Roman"/>
          <w:sz w:val="24"/>
          <w:szCs w:val="24"/>
        </w:rPr>
        <w:t xml:space="preserve">representative, </w:t>
      </w:r>
      <w:r w:rsidR="00ED6A96" w:rsidRPr="002213F0">
        <w:rPr>
          <w:rFonts w:ascii="Times New Roman" w:hAnsi="Times New Roman"/>
          <w:sz w:val="24"/>
          <w:szCs w:val="24"/>
        </w:rPr>
        <w:t xml:space="preserve">Ackerman, LLP </w:t>
      </w:r>
      <w:r w:rsidR="00FD280B" w:rsidRPr="002213F0">
        <w:rPr>
          <w:rFonts w:ascii="Times New Roman" w:hAnsi="Times New Roman"/>
          <w:sz w:val="24"/>
          <w:szCs w:val="24"/>
        </w:rPr>
        <w:t>(</w:t>
      </w:r>
      <w:proofErr w:type="spellStart"/>
      <w:r w:rsidR="00ED6A96" w:rsidRPr="002213F0">
        <w:rPr>
          <w:rFonts w:ascii="Times New Roman" w:hAnsi="Times New Roman"/>
          <w:sz w:val="24"/>
          <w:szCs w:val="24"/>
        </w:rPr>
        <w:t>Alvan</w:t>
      </w:r>
      <w:proofErr w:type="spellEnd"/>
      <w:r w:rsidR="00ED6A96" w:rsidRPr="002213F0">
        <w:rPr>
          <w:rFonts w:ascii="Times New Roman" w:hAnsi="Times New Roman"/>
          <w:sz w:val="24"/>
          <w:szCs w:val="24"/>
        </w:rPr>
        <w:t xml:space="preserve"> L. </w:t>
      </w:r>
      <w:proofErr w:type="spellStart"/>
      <w:r w:rsidR="00ED6A96" w:rsidRPr="002213F0">
        <w:rPr>
          <w:rFonts w:ascii="Times New Roman" w:hAnsi="Times New Roman"/>
          <w:sz w:val="24"/>
          <w:szCs w:val="24"/>
        </w:rPr>
        <w:t>Bobrow</w:t>
      </w:r>
      <w:proofErr w:type="spellEnd"/>
      <w:r w:rsidR="00FD280B" w:rsidRPr="002213F0">
        <w:rPr>
          <w:rFonts w:ascii="Times New Roman" w:hAnsi="Times New Roman"/>
          <w:sz w:val="24"/>
          <w:szCs w:val="24"/>
        </w:rPr>
        <w:t>, Esq., of counsel)</w:t>
      </w:r>
      <w:r w:rsidR="00ED6A96" w:rsidRPr="002213F0">
        <w:rPr>
          <w:rFonts w:ascii="Times New Roman" w:hAnsi="Times New Roman"/>
          <w:sz w:val="24"/>
          <w:szCs w:val="24"/>
        </w:rPr>
        <w:t xml:space="preserve"> did not respond to the motion.  T</w:t>
      </w:r>
      <w:r w:rsidR="00FD280B" w:rsidRPr="002213F0">
        <w:rPr>
          <w:rFonts w:ascii="Times New Roman" w:hAnsi="Times New Roman"/>
          <w:sz w:val="24"/>
          <w:szCs w:val="24"/>
        </w:rPr>
        <w:t>he 90-day period for issuance of this order</w:t>
      </w:r>
      <w:r w:rsidR="00ED6A96" w:rsidRPr="002213F0">
        <w:rPr>
          <w:rFonts w:ascii="Times New Roman" w:hAnsi="Times New Roman"/>
          <w:sz w:val="24"/>
          <w:szCs w:val="24"/>
        </w:rPr>
        <w:t xml:space="preserve"> began on </w:t>
      </w:r>
      <w:r w:rsidR="00013197" w:rsidRPr="002213F0">
        <w:rPr>
          <w:rFonts w:ascii="Times New Roman" w:hAnsi="Times New Roman"/>
          <w:sz w:val="24"/>
          <w:szCs w:val="24"/>
        </w:rPr>
        <w:t>June</w:t>
      </w:r>
      <w:r w:rsidR="00ED6A96" w:rsidRPr="002213F0">
        <w:rPr>
          <w:rFonts w:ascii="Times New Roman" w:hAnsi="Times New Roman"/>
          <w:sz w:val="24"/>
          <w:szCs w:val="24"/>
        </w:rPr>
        <w:t xml:space="preserve"> 8, 2020</w:t>
      </w:r>
      <w:r w:rsidR="009C0112" w:rsidRPr="002213F0">
        <w:rPr>
          <w:rFonts w:ascii="Times New Roman" w:hAnsi="Times New Roman"/>
          <w:sz w:val="24"/>
          <w:szCs w:val="24"/>
        </w:rPr>
        <w:t>.</w:t>
      </w:r>
    </w:p>
    <w:p w14:paraId="1FACBB8B" w14:textId="6CA73A40" w:rsidR="00013197" w:rsidRPr="004717F6" w:rsidRDefault="00013197" w:rsidP="00B46CF3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0C03EC" w:rsidRPr="00322891">
        <w:rPr>
          <w:rFonts w:ascii="Times New Roman" w:hAnsi="Times New Roman"/>
          <w:sz w:val="24"/>
          <w:szCs w:val="24"/>
        </w:rPr>
        <w:t>Based upon the motion papers</w:t>
      </w:r>
      <w:r w:rsidR="007D0739">
        <w:rPr>
          <w:rFonts w:ascii="Times New Roman" w:hAnsi="Times New Roman"/>
          <w:sz w:val="24"/>
          <w:szCs w:val="24"/>
        </w:rPr>
        <w:t xml:space="preserve"> and </w:t>
      </w:r>
      <w:r w:rsidR="000C03EC" w:rsidRPr="00322891">
        <w:rPr>
          <w:rFonts w:ascii="Times New Roman" w:hAnsi="Times New Roman"/>
          <w:sz w:val="24"/>
          <w:szCs w:val="24"/>
        </w:rPr>
        <w:t>documents submitted therewith, and all pleadings and documents submitted in connection with this matter, Kevin R. Law, Administrative Law Judge, renders the following order</w:t>
      </w:r>
      <w:r w:rsidR="004717F6">
        <w:rPr>
          <w:rFonts w:ascii="Times New Roman" w:hAnsi="Times New Roman"/>
          <w:sz w:val="24"/>
          <w:szCs w:val="24"/>
        </w:rPr>
        <w:t>.</w:t>
      </w:r>
    </w:p>
    <w:p w14:paraId="188B87A0" w14:textId="27F407F1" w:rsidR="008911FA" w:rsidRPr="008911FA" w:rsidRDefault="009750A7" w:rsidP="00B46CF3">
      <w:pPr>
        <w:spacing w:after="0" w:line="48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I</w:t>
      </w:r>
      <w:r w:rsidR="00A07983">
        <w:rPr>
          <w:rFonts w:ascii="Times New Roman" w:hAnsi="Times New Roman"/>
          <w:b/>
          <w:i/>
          <w:sz w:val="24"/>
          <w:szCs w:val="24"/>
        </w:rPr>
        <w:t>SSU</w:t>
      </w:r>
      <w:r w:rsidR="0085258C">
        <w:rPr>
          <w:rFonts w:ascii="Times New Roman" w:hAnsi="Times New Roman"/>
          <w:b/>
          <w:i/>
          <w:sz w:val="24"/>
          <w:szCs w:val="24"/>
        </w:rPr>
        <w:t>E</w:t>
      </w:r>
      <w:r w:rsidR="00561E29">
        <w:rPr>
          <w:rFonts w:ascii="Times New Roman" w:hAnsi="Times New Roman"/>
          <w:b/>
          <w:i/>
          <w:sz w:val="24"/>
          <w:szCs w:val="24"/>
        </w:rPr>
        <w:t>S</w:t>
      </w:r>
    </w:p>
    <w:p w14:paraId="1216097D" w14:textId="35D329B7" w:rsidR="00FE787C" w:rsidRPr="008911FA" w:rsidRDefault="00B46CF3" w:rsidP="00B46CF3">
      <w:pPr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E29">
        <w:rPr>
          <w:rFonts w:ascii="Times New Roman" w:hAnsi="Times New Roman"/>
          <w:sz w:val="24"/>
          <w:szCs w:val="24"/>
        </w:rPr>
        <w:t xml:space="preserve">I.  </w:t>
      </w:r>
      <w:r w:rsidR="00FE787C">
        <w:rPr>
          <w:rFonts w:ascii="Times New Roman" w:hAnsi="Times New Roman"/>
          <w:sz w:val="24"/>
          <w:szCs w:val="24"/>
        </w:rPr>
        <w:t>Whether the Division of Tax</w:t>
      </w:r>
      <w:r w:rsidR="007B6E7F">
        <w:rPr>
          <w:rFonts w:ascii="Times New Roman" w:hAnsi="Times New Roman"/>
          <w:sz w:val="24"/>
          <w:szCs w:val="24"/>
        </w:rPr>
        <w:t xml:space="preserve"> Appeals has jurisdiction to modify or quash an attorney issued subpoena</w:t>
      </w:r>
      <w:r w:rsidR="00013197">
        <w:rPr>
          <w:rFonts w:ascii="Times New Roman" w:hAnsi="Times New Roman"/>
          <w:sz w:val="24"/>
          <w:szCs w:val="24"/>
        </w:rPr>
        <w:t xml:space="preserve"> served upon the Division of Taxation.</w:t>
      </w:r>
    </w:p>
    <w:p w14:paraId="20606BD1" w14:textId="34225E19" w:rsidR="002E32F6" w:rsidRDefault="00B46CF3" w:rsidP="00B46CF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787C">
        <w:rPr>
          <w:rFonts w:ascii="Times New Roman" w:hAnsi="Times New Roman"/>
          <w:sz w:val="24"/>
          <w:szCs w:val="24"/>
        </w:rPr>
        <w:t xml:space="preserve">II.  </w:t>
      </w:r>
      <w:r w:rsidR="007B6E7F">
        <w:rPr>
          <w:rFonts w:ascii="Times New Roman" w:hAnsi="Times New Roman"/>
          <w:sz w:val="24"/>
          <w:szCs w:val="24"/>
        </w:rPr>
        <w:t xml:space="preserve">Assuming the Division </w:t>
      </w:r>
      <w:r w:rsidR="00776E6B">
        <w:rPr>
          <w:rFonts w:ascii="Times New Roman" w:hAnsi="Times New Roman"/>
          <w:sz w:val="24"/>
          <w:szCs w:val="24"/>
        </w:rPr>
        <w:t>of Tax Appeals has jurisdiction</w:t>
      </w:r>
      <w:r w:rsidR="00013197">
        <w:rPr>
          <w:rFonts w:ascii="Times New Roman" w:hAnsi="Times New Roman"/>
          <w:sz w:val="24"/>
          <w:szCs w:val="24"/>
        </w:rPr>
        <w:t xml:space="preserve"> to modify or quash an attorney issue subpoena</w:t>
      </w:r>
      <w:r w:rsidR="00776E6B">
        <w:rPr>
          <w:rFonts w:ascii="Times New Roman" w:hAnsi="Times New Roman"/>
          <w:sz w:val="24"/>
          <w:szCs w:val="24"/>
        </w:rPr>
        <w:t xml:space="preserve">, </w:t>
      </w:r>
      <w:r w:rsidR="00013197">
        <w:rPr>
          <w:rFonts w:ascii="Times New Roman" w:hAnsi="Times New Roman"/>
          <w:sz w:val="24"/>
          <w:szCs w:val="24"/>
        </w:rPr>
        <w:t xml:space="preserve">should the same </w:t>
      </w:r>
      <w:r w:rsidR="00776E6B">
        <w:rPr>
          <w:rFonts w:ascii="Times New Roman" w:hAnsi="Times New Roman"/>
          <w:sz w:val="24"/>
          <w:szCs w:val="24"/>
        </w:rPr>
        <w:t>be modified or quashed.</w:t>
      </w:r>
    </w:p>
    <w:p w14:paraId="2E14F57D" w14:textId="77777777" w:rsidR="00421CD9" w:rsidRDefault="00A92050" w:rsidP="00B46CF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A92050">
        <w:rPr>
          <w:rFonts w:ascii="Times New Roman" w:hAnsi="Times New Roman"/>
          <w:b/>
          <w:i/>
          <w:sz w:val="24"/>
          <w:szCs w:val="24"/>
        </w:rPr>
        <w:t>FINDINGS OF FACT</w:t>
      </w:r>
    </w:p>
    <w:p w14:paraId="6BD8D4DA" w14:textId="736152E2" w:rsidR="005153BA" w:rsidRPr="00DB599F" w:rsidRDefault="00417161" w:rsidP="00B46CF3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67F0" w:rsidRPr="00A9578E">
        <w:rPr>
          <w:rFonts w:ascii="Times New Roman" w:hAnsi="Times New Roman"/>
          <w:sz w:val="24"/>
          <w:szCs w:val="24"/>
        </w:rPr>
        <w:t xml:space="preserve">1.  </w:t>
      </w:r>
      <w:r w:rsidR="00883565">
        <w:rPr>
          <w:rFonts w:ascii="Times New Roman" w:hAnsi="Times New Roman"/>
          <w:sz w:val="24"/>
          <w:szCs w:val="24"/>
        </w:rPr>
        <w:t>During the period in question, p</w:t>
      </w:r>
      <w:r w:rsidR="002814DC" w:rsidRPr="00322891">
        <w:rPr>
          <w:rFonts w:ascii="Times New Roman" w:hAnsi="Times New Roman"/>
          <w:sz w:val="24"/>
          <w:szCs w:val="24"/>
        </w:rPr>
        <w:t>etitioner</w:t>
      </w:r>
      <w:r w:rsidR="002814DC">
        <w:rPr>
          <w:rFonts w:ascii="Times New Roman" w:hAnsi="Times New Roman"/>
          <w:sz w:val="24"/>
          <w:szCs w:val="24"/>
        </w:rPr>
        <w:t xml:space="preserve">, </w:t>
      </w:r>
      <w:r w:rsidR="002814DC" w:rsidRPr="00FD280B">
        <w:rPr>
          <w:rFonts w:ascii="Times New Roman" w:hAnsi="Times New Roman"/>
          <w:sz w:val="24"/>
          <w:szCs w:val="24"/>
        </w:rPr>
        <w:t>West 2</w:t>
      </w:r>
      <w:r w:rsidR="002814DC">
        <w:rPr>
          <w:rFonts w:ascii="Times New Roman" w:hAnsi="Times New Roman"/>
          <w:sz w:val="24"/>
          <w:szCs w:val="24"/>
        </w:rPr>
        <w:t>0</w:t>
      </w:r>
      <w:r w:rsidR="002814DC" w:rsidRPr="00FD280B">
        <w:rPr>
          <w:rFonts w:ascii="Times New Roman" w:hAnsi="Times New Roman"/>
          <w:sz w:val="24"/>
          <w:szCs w:val="24"/>
        </w:rPr>
        <w:t>th Street</w:t>
      </w:r>
      <w:r w:rsidR="002814DC">
        <w:rPr>
          <w:rFonts w:ascii="Times New Roman" w:hAnsi="Times New Roman"/>
          <w:sz w:val="24"/>
          <w:szCs w:val="24"/>
        </w:rPr>
        <w:t xml:space="preserve"> Enterprises Corporation</w:t>
      </w:r>
      <w:r w:rsidR="002213F0">
        <w:rPr>
          <w:rFonts w:ascii="Times New Roman" w:hAnsi="Times New Roman"/>
          <w:sz w:val="24"/>
          <w:szCs w:val="24"/>
        </w:rPr>
        <w:t xml:space="preserve"> o</w:t>
      </w:r>
      <w:r w:rsidR="00DB599F">
        <w:rPr>
          <w:rFonts w:ascii="Times New Roman" w:hAnsi="Times New Roman"/>
          <w:sz w:val="24"/>
          <w:szCs w:val="24"/>
        </w:rPr>
        <w:t>p</w:t>
      </w:r>
      <w:r w:rsidR="002814DC">
        <w:rPr>
          <w:rFonts w:ascii="Times New Roman" w:hAnsi="Times New Roman"/>
          <w:sz w:val="24"/>
          <w:szCs w:val="24"/>
        </w:rPr>
        <w:t>erate</w:t>
      </w:r>
      <w:r w:rsidR="00883565">
        <w:rPr>
          <w:rFonts w:ascii="Times New Roman" w:hAnsi="Times New Roman"/>
          <w:sz w:val="24"/>
          <w:szCs w:val="24"/>
        </w:rPr>
        <w:t>d</w:t>
      </w:r>
      <w:r w:rsidR="00DB599F">
        <w:rPr>
          <w:rFonts w:ascii="Times New Roman" w:hAnsi="Times New Roman"/>
          <w:sz w:val="24"/>
          <w:szCs w:val="24"/>
        </w:rPr>
        <w:t xml:space="preserve"> an adult entertainment establishment called the VIP Club, in New York (the Club).  Selim </w:t>
      </w:r>
      <w:proofErr w:type="spellStart"/>
      <w:r w:rsidR="00DB599F">
        <w:rPr>
          <w:rFonts w:ascii="Times New Roman" w:hAnsi="Times New Roman"/>
          <w:sz w:val="24"/>
          <w:szCs w:val="24"/>
        </w:rPr>
        <w:t>Zherka</w:t>
      </w:r>
      <w:proofErr w:type="spellEnd"/>
      <w:r w:rsidR="00DB599F">
        <w:rPr>
          <w:rFonts w:ascii="Times New Roman" w:hAnsi="Times New Roman"/>
          <w:sz w:val="24"/>
          <w:szCs w:val="24"/>
        </w:rPr>
        <w:t xml:space="preserve"> and Maurice Kavanagh owned </w:t>
      </w:r>
      <w:r w:rsidR="00DB599F" w:rsidRPr="00FD280B">
        <w:rPr>
          <w:rFonts w:ascii="Times New Roman" w:hAnsi="Times New Roman"/>
          <w:sz w:val="24"/>
          <w:szCs w:val="24"/>
        </w:rPr>
        <w:t>West 2</w:t>
      </w:r>
      <w:r w:rsidR="00DB599F">
        <w:rPr>
          <w:rFonts w:ascii="Times New Roman" w:hAnsi="Times New Roman"/>
          <w:sz w:val="24"/>
          <w:szCs w:val="24"/>
        </w:rPr>
        <w:t>0</w:t>
      </w:r>
      <w:r w:rsidR="00DB599F" w:rsidRPr="00FD280B">
        <w:rPr>
          <w:rFonts w:ascii="Times New Roman" w:hAnsi="Times New Roman"/>
          <w:sz w:val="24"/>
          <w:szCs w:val="24"/>
        </w:rPr>
        <w:t>th Street</w:t>
      </w:r>
      <w:r w:rsidR="00DB599F">
        <w:rPr>
          <w:rFonts w:ascii="Times New Roman" w:hAnsi="Times New Roman"/>
          <w:sz w:val="24"/>
          <w:szCs w:val="24"/>
        </w:rPr>
        <w:t xml:space="preserve"> Enterprises Corporation.  Petitioner, </w:t>
      </w:r>
      <w:r w:rsidR="00DB599F" w:rsidRPr="00FD280B">
        <w:rPr>
          <w:rFonts w:ascii="Times New Roman" w:hAnsi="Times New Roman"/>
          <w:sz w:val="24"/>
          <w:szCs w:val="24"/>
        </w:rPr>
        <w:t>Sushi Fun Dining &amp; Catering, Inc.</w:t>
      </w:r>
      <w:r w:rsidR="007662A2">
        <w:rPr>
          <w:rFonts w:ascii="Times New Roman" w:hAnsi="Times New Roman"/>
          <w:sz w:val="24"/>
          <w:szCs w:val="24"/>
        </w:rPr>
        <w:t>,</w:t>
      </w:r>
      <w:r w:rsidR="00DB599F">
        <w:rPr>
          <w:rFonts w:ascii="Times New Roman" w:hAnsi="Times New Roman"/>
          <w:sz w:val="24"/>
          <w:szCs w:val="24"/>
        </w:rPr>
        <w:t xml:space="preserve"> operated the restaurant operations at the Club.</w:t>
      </w:r>
      <w:r w:rsidR="00131D70">
        <w:rPr>
          <w:rFonts w:ascii="Times New Roman" w:hAnsi="Times New Roman"/>
          <w:sz w:val="24"/>
          <w:szCs w:val="24"/>
        </w:rPr>
        <w:t xml:space="preserve">  </w:t>
      </w:r>
      <w:r w:rsidR="00131D70" w:rsidRPr="00FD280B">
        <w:rPr>
          <w:rFonts w:ascii="Times New Roman" w:hAnsi="Times New Roman"/>
          <w:sz w:val="24"/>
          <w:szCs w:val="24"/>
        </w:rPr>
        <w:t>Sushi Fun Dining &amp; Catering, Inc</w:t>
      </w:r>
      <w:r w:rsidR="00131D70">
        <w:rPr>
          <w:rFonts w:ascii="Times New Roman" w:hAnsi="Times New Roman"/>
          <w:sz w:val="24"/>
          <w:szCs w:val="24"/>
        </w:rPr>
        <w:t>.</w:t>
      </w:r>
      <w:r w:rsidR="007662A2">
        <w:rPr>
          <w:rFonts w:ascii="Times New Roman" w:hAnsi="Times New Roman"/>
          <w:sz w:val="24"/>
          <w:szCs w:val="24"/>
        </w:rPr>
        <w:t>,</w:t>
      </w:r>
      <w:r w:rsidR="00131D70">
        <w:rPr>
          <w:rFonts w:ascii="Times New Roman" w:hAnsi="Times New Roman"/>
          <w:sz w:val="24"/>
          <w:szCs w:val="24"/>
        </w:rPr>
        <w:t xml:space="preserve"> was owned by </w:t>
      </w:r>
      <w:proofErr w:type="spellStart"/>
      <w:r w:rsidR="00131D70">
        <w:rPr>
          <w:rFonts w:ascii="Times New Roman" w:hAnsi="Times New Roman"/>
          <w:sz w:val="24"/>
          <w:szCs w:val="24"/>
        </w:rPr>
        <w:t>M</w:t>
      </w:r>
      <w:r w:rsidR="002213F0">
        <w:rPr>
          <w:rFonts w:ascii="Times New Roman" w:hAnsi="Times New Roman"/>
          <w:sz w:val="24"/>
          <w:szCs w:val="24"/>
        </w:rPr>
        <w:t>ssrs</w:t>
      </w:r>
      <w:proofErr w:type="spellEnd"/>
      <w:r w:rsidR="002213F0">
        <w:rPr>
          <w:rFonts w:ascii="Times New Roman" w:hAnsi="Times New Roman"/>
          <w:sz w:val="24"/>
          <w:szCs w:val="24"/>
        </w:rPr>
        <w:t>.</w:t>
      </w:r>
      <w:r w:rsidR="00131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D70">
        <w:rPr>
          <w:rFonts w:ascii="Times New Roman" w:hAnsi="Times New Roman"/>
          <w:sz w:val="24"/>
          <w:szCs w:val="24"/>
        </w:rPr>
        <w:t>Zherka</w:t>
      </w:r>
      <w:proofErr w:type="spellEnd"/>
      <w:r w:rsidR="008F4605">
        <w:rPr>
          <w:rFonts w:ascii="Times New Roman" w:hAnsi="Times New Roman"/>
          <w:sz w:val="24"/>
          <w:szCs w:val="24"/>
        </w:rPr>
        <w:t xml:space="preserve"> and </w:t>
      </w:r>
      <w:r w:rsidR="002213F0">
        <w:rPr>
          <w:rFonts w:ascii="Times New Roman" w:hAnsi="Times New Roman"/>
          <w:sz w:val="24"/>
          <w:szCs w:val="24"/>
        </w:rPr>
        <w:t>Kavanagh</w:t>
      </w:r>
      <w:r w:rsidR="00131D70">
        <w:rPr>
          <w:rFonts w:ascii="Times New Roman" w:hAnsi="Times New Roman"/>
          <w:sz w:val="24"/>
          <w:szCs w:val="24"/>
        </w:rPr>
        <w:t xml:space="preserve">.  </w:t>
      </w:r>
      <w:r w:rsidR="00430A03">
        <w:rPr>
          <w:rFonts w:ascii="Times New Roman" w:hAnsi="Times New Roman"/>
          <w:sz w:val="24"/>
          <w:szCs w:val="24"/>
        </w:rPr>
        <w:t xml:space="preserve">Petitioner, </w:t>
      </w:r>
      <w:r w:rsidR="00131D70">
        <w:rPr>
          <w:rFonts w:ascii="Times New Roman" w:hAnsi="Times New Roman"/>
          <w:sz w:val="24"/>
          <w:szCs w:val="24"/>
        </w:rPr>
        <w:t xml:space="preserve">Pacific Club Holdings, Inc., sold scrip to patrons of the </w:t>
      </w:r>
      <w:r w:rsidR="008F4605">
        <w:rPr>
          <w:rFonts w:ascii="Times New Roman" w:hAnsi="Times New Roman"/>
          <w:sz w:val="24"/>
          <w:szCs w:val="24"/>
        </w:rPr>
        <w:t>C</w:t>
      </w:r>
      <w:r w:rsidR="00131D70">
        <w:rPr>
          <w:rFonts w:ascii="Times New Roman" w:hAnsi="Times New Roman"/>
          <w:sz w:val="24"/>
          <w:szCs w:val="24"/>
        </w:rPr>
        <w:t>lub.  P</w:t>
      </w:r>
      <w:r w:rsidR="008F4605">
        <w:rPr>
          <w:rFonts w:ascii="Times New Roman" w:hAnsi="Times New Roman"/>
          <w:sz w:val="24"/>
          <w:szCs w:val="24"/>
        </w:rPr>
        <w:t>acific Club Holdings, Inc.</w:t>
      </w:r>
      <w:r w:rsidR="007662A2">
        <w:rPr>
          <w:rFonts w:ascii="Times New Roman" w:hAnsi="Times New Roman"/>
          <w:sz w:val="24"/>
          <w:szCs w:val="24"/>
        </w:rPr>
        <w:t>,</w:t>
      </w:r>
      <w:r w:rsidR="008F4605">
        <w:rPr>
          <w:rFonts w:ascii="Times New Roman" w:hAnsi="Times New Roman"/>
          <w:sz w:val="24"/>
          <w:szCs w:val="24"/>
        </w:rPr>
        <w:t xml:space="preserve"> was owned by</w:t>
      </w:r>
      <w:r w:rsidR="002213F0">
        <w:rPr>
          <w:rFonts w:ascii="Times New Roman" w:hAnsi="Times New Roman"/>
          <w:sz w:val="24"/>
          <w:szCs w:val="24"/>
        </w:rPr>
        <w:t xml:space="preserve"> petitioner</w:t>
      </w:r>
      <w:r w:rsidR="00131D70">
        <w:rPr>
          <w:rFonts w:ascii="Times New Roman" w:hAnsi="Times New Roman"/>
          <w:sz w:val="24"/>
          <w:szCs w:val="24"/>
        </w:rPr>
        <w:t xml:space="preserve"> Dominica O’Neill. </w:t>
      </w:r>
      <w:r w:rsidR="00DB599F">
        <w:rPr>
          <w:rFonts w:ascii="Times New Roman" w:hAnsi="Times New Roman"/>
          <w:sz w:val="24"/>
          <w:szCs w:val="24"/>
        </w:rPr>
        <w:t xml:space="preserve">  </w:t>
      </w:r>
    </w:p>
    <w:p w14:paraId="32EED5BA" w14:textId="4336BB3D" w:rsidR="00196B7F" w:rsidRDefault="005153BA" w:rsidP="00B46CF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1D70">
        <w:rPr>
          <w:rFonts w:ascii="Times New Roman" w:hAnsi="Times New Roman"/>
          <w:sz w:val="24"/>
          <w:szCs w:val="24"/>
        </w:rPr>
        <w:t xml:space="preserve">2.  </w:t>
      </w:r>
      <w:r w:rsidR="00A9578E" w:rsidRPr="00A9578E">
        <w:rPr>
          <w:rFonts w:ascii="Times New Roman" w:hAnsi="Times New Roman"/>
          <w:sz w:val="24"/>
          <w:szCs w:val="24"/>
        </w:rPr>
        <w:t>On</w:t>
      </w:r>
      <w:r w:rsidR="009C0112">
        <w:rPr>
          <w:rFonts w:ascii="Times New Roman" w:hAnsi="Times New Roman"/>
          <w:sz w:val="24"/>
          <w:szCs w:val="24"/>
        </w:rPr>
        <w:t xml:space="preserve"> March 5, 2020, a hearing was held in these matters.  The gravamen of </w:t>
      </w:r>
      <w:r w:rsidR="008F4605">
        <w:rPr>
          <w:rFonts w:ascii="Times New Roman" w:hAnsi="Times New Roman"/>
          <w:sz w:val="24"/>
          <w:szCs w:val="24"/>
        </w:rPr>
        <w:t xml:space="preserve">these matters </w:t>
      </w:r>
      <w:r w:rsidR="009C0112">
        <w:rPr>
          <w:rFonts w:ascii="Times New Roman" w:hAnsi="Times New Roman"/>
          <w:sz w:val="24"/>
          <w:szCs w:val="24"/>
        </w:rPr>
        <w:t>is whether the sale of scrip</w:t>
      </w:r>
      <w:r w:rsidR="00C2620C">
        <w:rPr>
          <w:rFonts w:ascii="Times New Roman" w:hAnsi="Times New Roman"/>
          <w:sz w:val="24"/>
          <w:szCs w:val="24"/>
        </w:rPr>
        <w:t xml:space="preserve"> </w:t>
      </w:r>
      <w:r w:rsidR="00B73F6E">
        <w:rPr>
          <w:rFonts w:ascii="Times New Roman" w:hAnsi="Times New Roman"/>
          <w:sz w:val="24"/>
          <w:szCs w:val="24"/>
        </w:rPr>
        <w:t>by petitioner</w:t>
      </w:r>
      <w:r w:rsidR="00655B01">
        <w:rPr>
          <w:rFonts w:ascii="Times New Roman" w:hAnsi="Times New Roman"/>
          <w:sz w:val="24"/>
          <w:szCs w:val="24"/>
        </w:rPr>
        <w:t>,</w:t>
      </w:r>
      <w:r w:rsidR="00B73F6E">
        <w:rPr>
          <w:rFonts w:ascii="Times New Roman" w:hAnsi="Times New Roman"/>
          <w:sz w:val="24"/>
          <w:szCs w:val="24"/>
        </w:rPr>
        <w:t xml:space="preserve"> Pacific Club Holdings, Inc.</w:t>
      </w:r>
      <w:r w:rsidR="007662A2">
        <w:rPr>
          <w:rFonts w:ascii="Times New Roman" w:hAnsi="Times New Roman"/>
          <w:sz w:val="24"/>
          <w:szCs w:val="24"/>
        </w:rPr>
        <w:t>,</w:t>
      </w:r>
      <w:r w:rsidR="00B73F6E">
        <w:rPr>
          <w:rFonts w:ascii="Times New Roman" w:hAnsi="Times New Roman"/>
          <w:sz w:val="24"/>
          <w:szCs w:val="24"/>
        </w:rPr>
        <w:t xml:space="preserve"> </w:t>
      </w:r>
      <w:r w:rsidR="00C2620C">
        <w:rPr>
          <w:rFonts w:ascii="Times New Roman" w:hAnsi="Times New Roman"/>
          <w:sz w:val="24"/>
          <w:szCs w:val="24"/>
        </w:rPr>
        <w:t>constitutes a</w:t>
      </w:r>
      <w:r w:rsidR="00200B9B">
        <w:rPr>
          <w:rFonts w:ascii="Times New Roman" w:hAnsi="Times New Roman"/>
          <w:sz w:val="24"/>
          <w:szCs w:val="24"/>
        </w:rPr>
        <w:t>n</w:t>
      </w:r>
      <w:r w:rsidR="00C2620C">
        <w:rPr>
          <w:rFonts w:ascii="Times New Roman" w:hAnsi="Times New Roman"/>
          <w:sz w:val="24"/>
          <w:szCs w:val="24"/>
        </w:rPr>
        <w:t xml:space="preserve"> admission charge to a place of amusement</w:t>
      </w:r>
      <w:r w:rsidR="009C0112">
        <w:rPr>
          <w:rFonts w:ascii="Times New Roman" w:hAnsi="Times New Roman"/>
          <w:sz w:val="24"/>
          <w:szCs w:val="24"/>
        </w:rPr>
        <w:t xml:space="preserve"> subject to sales tax.</w:t>
      </w:r>
    </w:p>
    <w:p w14:paraId="57C7EF50" w14:textId="2B4C8CDE" w:rsidR="00A856A7" w:rsidRDefault="00080A4E" w:rsidP="00B46CF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1D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213F0">
        <w:rPr>
          <w:rFonts w:ascii="Times New Roman" w:hAnsi="Times New Roman"/>
          <w:sz w:val="24"/>
          <w:szCs w:val="24"/>
        </w:rPr>
        <w:t xml:space="preserve">  P</w:t>
      </w:r>
      <w:r>
        <w:rPr>
          <w:rFonts w:ascii="Times New Roman" w:hAnsi="Times New Roman"/>
          <w:sz w:val="24"/>
          <w:szCs w:val="24"/>
        </w:rPr>
        <w:t>rior to the conclusion of the hearing</w:t>
      </w:r>
      <w:r w:rsidR="00B73F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petitioners requested that the hearing record be left open</w:t>
      </w:r>
      <w:r w:rsidR="006125A1" w:rsidRPr="006125A1">
        <w:rPr>
          <w:rFonts w:ascii="Times New Roman" w:hAnsi="Times New Roman"/>
          <w:sz w:val="24"/>
          <w:szCs w:val="24"/>
        </w:rPr>
        <w:t xml:space="preserve"> to submit three affidavits of current or former entertainers or employees of </w:t>
      </w:r>
      <w:r w:rsidR="00131D70">
        <w:rPr>
          <w:rFonts w:ascii="Times New Roman" w:hAnsi="Times New Roman"/>
          <w:sz w:val="24"/>
          <w:szCs w:val="24"/>
        </w:rPr>
        <w:t>the C</w:t>
      </w:r>
      <w:r w:rsidR="006125A1" w:rsidRPr="006125A1">
        <w:rPr>
          <w:rFonts w:ascii="Times New Roman" w:hAnsi="Times New Roman"/>
          <w:sz w:val="24"/>
          <w:szCs w:val="24"/>
        </w:rPr>
        <w:t xml:space="preserve">lub </w:t>
      </w:r>
      <w:r w:rsidR="006125A1">
        <w:rPr>
          <w:rFonts w:ascii="Times New Roman" w:hAnsi="Times New Roman"/>
          <w:sz w:val="24"/>
          <w:szCs w:val="24"/>
        </w:rPr>
        <w:t xml:space="preserve">and </w:t>
      </w:r>
      <w:r w:rsidR="006125A1" w:rsidRPr="006125A1">
        <w:rPr>
          <w:rFonts w:ascii="Times New Roman" w:hAnsi="Times New Roman"/>
          <w:sz w:val="24"/>
          <w:szCs w:val="24"/>
        </w:rPr>
        <w:t xml:space="preserve">two deposition transcripts from a Fair Labor Standards Act suit brought against a related club that </w:t>
      </w:r>
      <w:r w:rsidR="00131D70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6125A1" w:rsidRPr="006125A1">
        <w:rPr>
          <w:rFonts w:ascii="Times New Roman" w:hAnsi="Times New Roman"/>
          <w:sz w:val="24"/>
          <w:szCs w:val="24"/>
        </w:rPr>
        <w:t>Zherka</w:t>
      </w:r>
      <w:proofErr w:type="spellEnd"/>
      <w:r w:rsidR="006125A1" w:rsidRPr="006125A1">
        <w:rPr>
          <w:rFonts w:ascii="Times New Roman" w:hAnsi="Times New Roman"/>
          <w:sz w:val="24"/>
          <w:szCs w:val="24"/>
        </w:rPr>
        <w:t xml:space="preserve"> owned </w:t>
      </w:r>
      <w:r w:rsidR="00CF4E45">
        <w:rPr>
          <w:rFonts w:ascii="Times New Roman" w:hAnsi="Times New Roman"/>
          <w:sz w:val="24"/>
          <w:szCs w:val="24"/>
        </w:rPr>
        <w:t>and</w:t>
      </w:r>
      <w:r w:rsidR="00131D70">
        <w:rPr>
          <w:rFonts w:ascii="Times New Roman" w:hAnsi="Times New Roman"/>
          <w:sz w:val="24"/>
          <w:szCs w:val="24"/>
        </w:rPr>
        <w:t xml:space="preserve"> operated</w:t>
      </w:r>
      <w:r w:rsidR="006125A1" w:rsidRPr="006125A1">
        <w:rPr>
          <w:rFonts w:ascii="Times New Roman" w:hAnsi="Times New Roman"/>
          <w:sz w:val="24"/>
          <w:szCs w:val="24"/>
        </w:rPr>
        <w:t>.</w:t>
      </w:r>
      <w:r w:rsidR="006125A1">
        <w:rPr>
          <w:rFonts w:ascii="Times New Roman" w:hAnsi="Times New Roman"/>
          <w:sz w:val="24"/>
          <w:szCs w:val="24"/>
        </w:rPr>
        <w:t xml:space="preserve">  </w:t>
      </w:r>
      <w:r w:rsidR="002213F0">
        <w:rPr>
          <w:rFonts w:ascii="Times New Roman" w:hAnsi="Times New Roman"/>
          <w:sz w:val="24"/>
          <w:szCs w:val="24"/>
        </w:rPr>
        <w:t>Petitioners’ request was granted, but otherwise</w:t>
      </w:r>
      <w:r w:rsidR="005C6AE2">
        <w:rPr>
          <w:rFonts w:ascii="Times New Roman" w:hAnsi="Times New Roman"/>
          <w:sz w:val="24"/>
          <w:szCs w:val="24"/>
        </w:rPr>
        <w:t xml:space="preserve"> the record was closed.</w:t>
      </w:r>
    </w:p>
    <w:p w14:paraId="350B69A1" w14:textId="417899A3" w:rsidR="00E52117" w:rsidRDefault="00A856A7" w:rsidP="00B46CF3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287">
        <w:rPr>
          <w:rFonts w:ascii="Times New Roman" w:hAnsi="Times New Roman"/>
          <w:sz w:val="24"/>
          <w:szCs w:val="24"/>
        </w:rPr>
        <w:t>4</w:t>
      </w:r>
      <w:r w:rsidR="005153BA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During the course of petitioners’ opening statement at the hearing, pet</w:t>
      </w:r>
      <w:r w:rsidR="00461C7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tioner</w:t>
      </w:r>
      <w:r w:rsidR="002A10A8">
        <w:rPr>
          <w:rFonts w:ascii="Times New Roman" w:hAnsi="Times New Roman"/>
          <w:sz w:val="24"/>
          <w:szCs w:val="24"/>
        </w:rPr>
        <w:t>s’</w:t>
      </w:r>
      <w:r>
        <w:rPr>
          <w:rFonts w:ascii="Times New Roman" w:hAnsi="Times New Roman"/>
          <w:sz w:val="24"/>
          <w:szCs w:val="24"/>
        </w:rPr>
        <w:t xml:space="preserve"> representative stated that a subpoena had been prepared and was on its way to the Division</w:t>
      </w:r>
      <w:r w:rsidR="002213F0">
        <w:rPr>
          <w:rFonts w:ascii="Times New Roman" w:hAnsi="Times New Roman"/>
          <w:sz w:val="24"/>
          <w:szCs w:val="24"/>
        </w:rPr>
        <w:t xml:space="preserve"> of </w:t>
      </w:r>
      <w:r w:rsidR="002213F0">
        <w:rPr>
          <w:rFonts w:ascii="Times New Roman" w:hAnsi="Times New Roman"/>
          <w:sz w:val="24"/>
          <w:szCs w:val="24"/>
        </w:rPr>
        <w:lastRenderedPageBreak/>
        <w:t>Taxation</w:t>
      </w:r>
      <w:r>
        <w:rPr>
          <w:rFonts w:ascii="Times New Roman" w:hAnsi="Times New Roman"/>
          <w:sz w:val="24"/>
          <w:szCs w:val="24"/>
        </w:rPr>
        <w:t>’s Office of Counsel in an attempt to discern why notices of determination issue</w:t>
      </w:r>
      <w:r w:rsidR="00E01DB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to Times Square Restaurant Group,</w:t>
      </w:r>
      <w:r w:rsidR="006568D3">
        <w:rPr>
          <w:rFonts w:ascii="Times New Roman" w:hAnsi="Times New Roman"/>
          <w:sz w:val="24"/>
          <w:szCs w:val="24"/>
        </w:rPr>
        <w:t xml:space="preserve"> Ltd.,</w:t>
      </w:r>
      <w:r>
        <w:rPr>
          <w:rFonts w:ascii="Times New Roman" w:hAnsi="Times New Roman"/>
          <w:sz w:val="24"/>
          <w:szCs w:val="24"/>
        </w:rPr>
        <w:t xml:space="preserve"> Times Square Restaurant #1,</w:t>
      </w:r>
      <w:r w:rsidR="007662A2">
        <w:rPr>
          <w:rFonts w:ascii="Times New Roman" w:hAnsi="Times New Roman"/>
          <w:sz w:val="24"/>
          <w:szCs w:val="24"/>
        </w:rPr>
        <w:t xml:space="preserve"> </w:t>
      </w:r>
      <w:r w:rsidR="006568D3">
        <w:rPr>
          <w:rFonts w:ascii="Times New Roman" w:hAnsi="Times New Roman"/>
          <w:sz w:val="24"/>
          <w:szCs w:val="24"/>
        </w:rPr>
        <w:t>Inc.,</w:t>
      </w:r>
      <w:r>
        <w:rPr>
          <w:rFonts w:ascii="Times New Roman" w:hAnsi="Times New Roman"/>
          <w:sz w:val="24"/>
          <w:szCs w:val="24"/>
        </w:rPr>
        <w:t xml:space="preserve"> </w:t>
      </w:r>
      <w:r w:rsidR="00655B01">
        <w:rPr>
          <w:rFonts w:ascii="Times New Roman" w:hAnsi="Times New Roman"/>
          <w:sz w:val="24"/>
          <w:szCs w:val="24"/>
        </w:rPr>
        <w:t xml:space="preserve">Three Amigos SJL, Restaurant, Inc., </w:t>
      </w:r>
      <w:r w:rsidR="00E01DB8">
        <w:rPr>
          <w:rFonts w:ascii="Times New Roman" w:hAnsi="Times New Roman"/>
          <w:sz w:val="24"/>
          <w:szCs w:val="24"/>
        </w:rPr>
        <w:t>and Maurice Kavanagh</w:t>
      </w:r>
      <w:r w:rsidR="002A10A8">
        <w:rPr>
          <w:rFonts w:ascii="Times New Roman" w:hAnsi="Times New Roman"/>
          <w:sz w:val="24"/>
          <w:szCs w:val="24"/>
        </w:rPr>
        <w:t xml:space="preserve">, </w:t>
      </w:r>
      <w:r w:rsidR="00E01DB8">
        <w:rPr>
          <w:rFonts w:ascii="Times New Roman" w:hAnsi="Times New Roman"/>
          <w:sz w:val="24"/>
          <w:szCs w:val="24"/>
        </w:rPr>
        <w:t>were cancelled by the Office of Coun</w:t>
      </w:r>
      <w:r w:rsidR="004041D9">
        <w:rPr>
          <w:rFonts w:ascii="Times New Roman" w:hAnsi="Times New Roman"/>
          <w:sz w:val="24"/>
          <w:szCs w:val="24"/>
        </w:rPr>
        <w:t>s</w:t>
      </w:r>
      <w:r w:rsidR="00E01DB8">
        <w:rPr>
          <w:rFonts w:ascii="Times New Roman" w:hAnsi="Times New Roman"/>
          <w:sz w:val="24"/>
          <w:szCs w:val="24"/>
        </w:rPr>
        <w:t xml:space="preserve">el subsequent to a hearing </w:t>
      </w:r>
      <w:r w:rsidR="005153BA">
        <w:rPr>
          <w:rFonts w:ascii="Times New Roman" w:hAnsi="Times New Roman"/>
          <w:sz w:val="24"/>
          <w:szCs w:val="24"/>
        </w:rPr>
        <w:t xml:space="preserve">in the Division of Tax Appeals </w:t>
      </w:r>
      <w:r w:rsidR="00E01DB8">
        <w:rPr>
          <w:rFonts w:ascii="Times New Roman" w:hAnsi="Times New Roman"/>
          <w:sz w:val="24"/>
          <w:szCs w:val="24"/>
        </w:rPr>
        <w:t>in those matters</w:t>
      </w:r>
      <w:r w:rsidR="00CF4E45">
        <w:rPr>
          <w:rFonts w:ascii="Times New Roman" w:hAnsi="Times New Roman"/>
          <w:sz w:val="24"/>
          <w:szCs w:val="24"/>
        </w:rPr>
        <w:t xml:space="preserve"> (the Times Square matters)</w:t>
      </w:r>
      <w:r w:rsidR="002A10A8">
        <w:rPr>
          <w:rFonts w:ascii="Times New Roman" w:hAnsi="Times New Roman"/>
          <w:sz w:val="24"/>
          <w:szCs w:val="24"/>
        </w:rPr>
        <w:t>,</w:t>
      </w:r>
      <w:r w:rsidR="00E01DB8">
        <w:rPr>
          <w:rFonts w:ascii="Times New Roman" w:hAnsi="Times New Roman"/>
          <w:sz w:val="24"/>
          <w:szCs w:val="24"/>
        </w:rPr>
        <w:t xml:space="preserve"> and prior to a determination being issued.</w:t>
      </w:r>
      <w:r w:rsidR="00CF4E45">
        <w:rPr>
          <w:rFonts w:ascii="Times New Roman" w:hAnsi="Times New Roman"/>
          <w:sz w:val="24"/>
          <w:szCs w:val="24"/>
        </w:rPr>
        <w:t xml:space="preserve">  A hearing in the Times Square matters occurred o</w:t>
      </w:r>
      <w:r w:rsidR="00C51877">
        <w:rPr>
          <w:rFonts w:ascii="Times New Roman" w:hAnsi="Times New Roman"/>
          <w:sz w:val="24"/>
          <w:szCs w:val="24"/>
        </w:rPr>
        <w:t xml:space="preserve">n June </w:t>
      </w:r>
      <w:r w:rsidR="00CF4E45">
        <w:rPr>
          <w:rFonts w:ascii="Times New Roman" w:hAnsi="Times New Roman"/>
          <w:sz w:val="24"/>
          <w:szCs w:val="24"/>
        </w:rPr>
        <w:t xml:space="preserve">26, </w:t>
      </w:r>
      <w:r w:rsidR="00C51877">
        <w:rPr>
          <w:rFonts w:ascii="Times New Roman" w:hAnsi="Times New Roman"/>
          <w:sz w:val="24"/>
          <w:szCs w:val="24"/>
        </w:rPr>
        <w:t>2019.</w:t>
      </w:r>
      <w:r w:rsidR="00C64865">
        <w:rPr>
          <w:rFonts w:ascii="Times New Roman" w:hAnsi="Times New Roman"/>
          <w:sz w:val="24"/>
          <w:szCs w:val="24"/>
        </w:rPr>
        <w:t xml:space="preserve">  The issue in those matters is identical to that in the present matter, i.e., whether the sale of scrip constitutes an admission charge to a place of amusement subject to sales tax. </w:t>
      </w:r>
      <w:r w:rsidR="002213F0">
        <w:rPr>
          <w:rFonts w:ascii="Times New Roman" w:hAnsi="Times New Roman"/>
          <w:sz w:val="24"/>
          <w:szCs w:val="24"/>
        </w:rPr>
        <w:t xml:space="preserve"> </w:t>
      </w:r>
      <w:r w:rsidR="00C51877">
        <w:rPr>
          <w:rFonts w:ascii="Times New Roman" w:hAnsi="Times New Roman"/>
          <w:sz w:val="24"/>
          <w:szCs w:val="24"/>
        </w:rPr>
        <w:t xml:space="preserve">The </w:t>
      </w:r>
      <w:r w:rsidR="002A10A8">
        <w:rPr>
          <w:rFonts w:ascii="Times New Roman" w:hAnsi="Times New Roman"/>
          <w:sz w:val="24"/>
          <w:szCs w:val="24"/>
        </w:rPr>
        <w:t>n</w:t>
      </w:r>
      <w:bookmarkStart w:id="2" w:name="_GoBack"/>
      <w:bookmarkEnd w:id="2"/>
      <w:r w:rsidR="002A10A8">
        <w:rPr>
          <w:rFonts w:ascii="Times New Roman" w:hAnsi="Times New Roman"/>
          <w:sz w:val="24"/>
          <w:szCs w:val="24"/>
        </w:rPr>
        <w:t>otices of</w:t>
      </w:r>
      <w:r w:rsidR="00131D70">
        <w:rPr>
          <w:rFonts w:ascii="Times New Roman" w:hAnsi="Times New Roman"/>
          <w:sz w:val="24"/>
          <w:szCs w:val="24"/>
        </w:rPr>
        <w:t xml:space="preserve"> </w:t>
      </w:r>
      <w:r w:rsidR="002A10A8">
        <w:rPr>
          <w:rFonts w:ascii="Times New Roman" w:hAnsi="Times New Roman"/>
          <w:sz w:val="24"/>
          <w:szCs w:val="24"/>
        </w:rPr>
        <w:t xml:space="preserve">determination issued to </w:t>
      </w:r>
      <w:r w:rsidR="002213F0">
        <w:rPr>
          <w:rFonts w:ascii="Times New Roman" w:hAnsi="Times New Roman"/>
          <w:sz w:val="24"/>
          <w:szCs w:val="24"/>
        </w:rPr>
        <w:t xml:space="preserve">the petitioners in the </w:t>
      </w:r>
      <w:r w:rsidR="00CF4E45">
        <w:rPr>
          <w:rFonts w:ascii="Times New Roman" w:hAnsi="Times New Roman"/>
          <w:sz w:val="24"/>
          <w:szCs w:val="24"/>
        </w:rPr>
        <w:t>Times Square</w:t>
      </w:r>
      <w:r w:rsidR="002213F0">
        <w:rPr>
          <w:rFonts w:ascii="Times New Roman" w:hAnsi="Times New Roman"/>
          <w:sz w:val="24"/>
          <w:szCs w:val="24"/>
        </w:rPr>
        <w:t xml:space="preserve"> matters were</w:t>
      </w:r>
      <w:r w:rsidR="00C51877">
        <w:rPr>
          <w:rFonts w:ascii="Times New Roman" w:hAnsi="Times New Roman"/>
          <w:sz w:val="24"/>
          <w:szCs w:val="24"/>
        </w:rPr>
        <w:t xml:space="preserve"> settled via stipulation</w:t>
      </w:r>
      <w:r w:rsidR="00E91AA3">
        <w:rPr>
          <w:rFonts w:ascii="Times New Roman" w:hAnsi="Times New Roman"/>
          <w:sz w:val="24"/>
          <w:szCs w:val="24"/>
        </w:rPr>
        <w:t>s</w:t>
      </w:r>
      <w:r w:rsidR="00C51877">
        <w:rPr>
          <w:rFonts w:ascii="Times New Roman" w:hAnsi="Times New Roman"/>
          <w:sz w:val="24"/>
          <w:szCs w:val="24"/>
        </w:rPr>
        <w:t xml:space="preserve"> for discontinuance of proceeding </w:t>
      </w:r>
      <w:r w:rsidR="007662A2">
        <w:rPr>
          <w:rFonts w:ascii="Times New Roman" w:hAnsi="Times New Roman"/>
          <w:sz w:val="24"/>
          <w:szCs w:val="24"/>
        </w:rPr>
        <w:t>a</w:t>
      </w:r>
      <w:r w:rsidR="00CF4E45">
        <w:rPr>
          <w:rFonts w:ascii="Times New Roman" w:hAnsi="Times New Roman"/>
          <w:sz w:val="24"/>
          <w:szCs w:val="24"/>
        </w:rPr>
        <w:t xml:space="preserve">nd </w:t>
      </w:r>
      <w:r w:rsidR="002A10A8">
        <w:rPr>
          <w:rFonts w:ascii="Times New Roman" w:hAnsi="Times New Roman"/>
          <w:sz w:val="24"/>
          <w:szCs w:val="24"/>
        </w:rPr>
        <w:t xml:space="preserve">were </w:t>
      </w:r>
      <w:r w:rsidR="00C51877">
        <w:rPr>
          <w:rFonts w:ascii="Times New Roman" w:hAnsi="Times New Roman"/>
          <w:sz w:val="24"/>
          <w:szCs w:val="24"/>
        </w:rPr>
        <w:t xml:space="preserve">filed with the Division of Tax Appeals on </w:t>
      </w:r>
      <w:r w:rsidR="007301D6">
        <w:rPr>
          <w:rFonts w:ascii="Times New Roman" w:hAnsi="Times New Roman"/>
          <w:sz w:val="24"/>
          <w:szCs w:val="24"/>
        </w:rPr>
        <w:t>October 28, 2019.  Petitioners’ representative herein</w:t>
      </w:r>
      <w:r w:rsidR="002331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314B">
        <w:rPr>
          <w:rFonts w:ascii="Times New Roman" w:hAnsi="Times New Roman"/>
          <w:sz w:val="24"/>
          <w:szCs w:val="24"/>
        </w:rPr>
        <w:t>Alvan</w:t>
      </w:r>
      <w:proofErr w:type="spellEnd"/>
      <w:r w:rsidR="002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14B">
        <w:rPr>
          <w:rFonts w:ascii="Times New Roman" w:hAnsi="Times New Roman"/>
          <w:sz w:val="24"/>
          <w:szCs w:val="24"/>
        </w:rPr>
        <w:t>Bobrow</w:t>
      </w:r>
      <w:proofErr w:type="spellEnd"/>
      <w:r w:rsidR="0023314B">
        <w:rPr>
          <w:rFonts w:ascii="Times New Roman" w:hAnsi="Times New Roman"/>
          <w:sz w:val="24"/>
          <w:szCs w:val="24"/>
        </w:rPr>
        <w:t>,</w:t>
      </w:r>
      <w:r w:rsidR="007662A2">
        <w:rPr>
          <w:rFonts w:ascii="Times New Roman" w:hAnsi="Times New Roman"/>
          <w:sz w:val="24"/>
          <w:szCs w:val="24"/>
        </w:rPr>
        <w:t xml:space="preserve"> Esq.,</w:t>
      </w:r>
      <w:r w:rsidR="007301D6">
        <w:rPr>
          <w:rFonts w:ascii="Times New Roman" w:hAnsi="Times New Roman"/>
          <w:sz w:val="24"/>
          <w:szCs w:val="24"/>
        </w:rPr>
        <w:t xml:space="preserve"> also represented th</w:t>
      </w:r>
      <w:r w:rsidR="00655B01">
        <w:rPr>
          <w:rFonts w:ascii="Times New Roman" w:hAnsi="Times New Roman"/>
          <w:sz w:val="24"/>
          <w:szCs w:val="24"/>
        </w:rPr>
        <w:t xml:space="preserve">e </w:t>
      </w:r>
      <w:r w:rsidR="00BC0E10">
        <w:rPr>
          <w:rFonts w:ascii="Times New Roman" w:hAnsi="Times New Roman"/>
          <w:sz w:val="24"/>
          <w:szCs w:val="24"/>
        </w:rPr>
        <w:t xml:space="preserve">petitioners in the </w:t>
      </w:r>
      <w:r w:rsidR="00655B01">
        <w:rPr>
          <w:rFonts w:ascii="Times New Roman" w:hAnsi="Times New Roman"/>
          <w:sz w:val="24"/>
          <w:szCs w:val="24"/>
        </w:rPr>
        <w:t xml:space="preserve">Times Square </w:t>
      </w:r>
      <w:r w:rsidR="00BC0E10">
        <w:rPr>
          <w:rFonts w:ascii="Times New Roman" w:hAnsi="Times New Roman"/>
          <w:sz w:val="24"/>
          <w:szCs w:val="24"/>
        </w:rPr>
        <w:t>matters</w:t>
      </w:r>
      <w:r w:rsidR="007301D6">
        <w:rPr>
          <w:rFonts w:ascii="Times New Roman" w:hAnsi="Times New Roman"/>
          <w:sz w:val="24"/>
          <w:szCs w:val="24"/>
        </w:rPr>
        <w:t>.</w:t>
      </w:r>
      <w:r w:rsidR="00C64865">
        <w:rPr>
          <w:rFonts w:ascii="Times New Roman" w:hAnsi="Times New Roman"/>
          <w:sz w:val="24"/>
          <w:szCs w:val="24"/>
        </w:rPr>
        <w:t xml:space="preserve">  The corporate entities therein</w:t>
      </w:r>
      <w:r w:rsidR="00B977F6">
        <w:rPr>
          <w:rFonts w:ascii="Times New Roman" w:hAnsi="Times New Roman"/>
          <w:sz w:val="24"/>
          <w:szCs w:val="24"/>
        </w:rPr>
        <w:t xml:space="preserve"> </w:t>
      </w:r>
      <w:r w:rsidR="00C64865">
        <w:rPr>
          <w:rFonts w:ascii="Times New Roman" w:hAnsi="Times New Roman"/>
          <w:sz w:val="24"/>
          <w:szCs w:val="24"/>
        </w:rPr>
        <w:t xml:space="preserve">have the same owners as the corporate </w:t>
      </w:r>
      <w:r w:rsidR="00B977F6">
        <w:rPr>
          <w:rFonts w:ascii="Times New Roman" w:hAnsi="Times New Roman"/>
          <w:sz w:val="24"/>
          <w:szCs w:val="24"/>
        </w:rPr>
        <w:t>petitioners</w:t>
      </w:r>
      <w:r w:rsidR="00C64865">
        <w:rPr>
          <w:rFonts w:ascii="Times New Roman" w:hAnsi="Times New Roman"/>
          <w:sz w:val="24"/>
          <w:szCs w:val="24"/>
        </w:rPr>
        <w:t xml:space="preserve"> herein.</w:t>
      </w:r>
    </w:p>
    <w:p w14:paraId="7A3558F5" w14:textId="55B2A897" w:rsidR="00E52117" w:rsidRPr="00CF4E45" w:rsidRDefault="00E52117" w:rsidP="00B46CF3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28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 On March 19, 2020, petitioners served a subpoena duces tecum on the Division seeking</w:t>
      </w:r>
      <w:r w:rsidR="00C20975">
        <w:rPr>
          <w:rFonts w:ascii="Times New Roman" w:hAnsi="Times New Roman"/>
          <w:sz w:val="24"/>
          <w:szCs w:val="24"/>
        </w:rPr>
        <w:t xml:space="preserve"> </w:t>
      </w:r>
      <w:r w:rsidR="00655B01">
        <w:rPr>
          <w:rFonts w:ascii="Times New Roman" w:hAnsi="Times New Roman"/>
          <w:sz w:val="24"/>
          <w:szCs w:val="24"/>
        </w:rPr>
        <w:t>“</w:t>
      </w:r>
      <w:r w:rsidR="00C2097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 and all documents and communications concerning or related to the</w:t>
      </w:r>
      <w:r w:rsidR="00C20975">
        <w:rPr>
          <w:rFonts w:ascii="Times New Roman" w:hAnsi="Times New Roman"/>
          <w:sz w:val="24"/>
          <w:szCs w:val="24"/>
        </w:rPr>
        <w:t xml:space="preserve"> decision to cancel the notices of determination issued </w:t>
      </w:r>
      <w:r w:rsidR="00AD629F">
        <w:rPr>
          <w:rFonts w:ascii="Times New Roman" w:hAnsi="Times New Roman"/>
          <w:sz w:val="24"/>
          <w:szCs w:val="24"/>
        </w:rPr>
        <w:t xml:space="preserve">to </w:t>
      </w:r>
      <w:r w:rsidR="00655B01">
        <w:rPr>
          <w:rFonts w:ascii="Times New Roman" w:hAnsi="Times New Roman"/>
          <w:sz w:val="24"/>
          <w:szCs w:val="24"/>
        </w:rPr>
        <w:t>[</w:t>
      </w:r>
      <w:r w:rsidR="00174287">
        <w:rPr>
          <w:rFonts w:ascii="Times New Roman" w:hAnsi="Times New Roman"/>
          <w:sz w:val="24"/>
          <w:szCs w:val="24"/>
        </w:rPr>
        <w:t xml:space="preserve">the </w:t>
      </w:r>
      <w:r w:rsidR="00AD629F">
        <w:rPr>
          <w:rFonts w:ascii="Times New Roman" w:hAnsi="Times New Roman"/>
          <w:sz w:val="24"/>
          <w:szCs w:val="24"/>
        </w:rPr>
        <w:t>Times Square</w:t>
      </w:r>
      <w:r w:rsidR="00174287">
        <w:rPr>
          <w:rFonts w:ascii="Times New Roman" w:hAnsi="Times New Roman"/>
          <w:sz w:val="24"/>
          <w:szCs w:val="24"/>
        </w:rPr>
        <w:t xml:space="preserve"> </w:t>
      </w:r>
      <w:r w:rsidR="00ED04A7">
        <w:rPr>
          <w:rFonts w:ascii="Times New Roman" w:hAnsi="Times New Roman"/>
          <w:sz w:val="24"/>
          <w:szCs w:val="24"/>
        </w:rPr>
        <w:t xml:space="preserve">matters’ </w:t>
      </w:r>
      <w:r w:rsidR="00174287">
        <w:rPr>
          <w:rFonts w:ascii="Times New Roman" w:hAnsi="Times New Roman"/>
          <w:sz w:val="24"/>
          <w:szCs w:val="24"/>
        </w:rPr>
        <w:t>petitioners</w:t>
      </w:r>
      <w:r w:rsidR="00655B01">
        <w:rPr>
          <w:rFonts w:ascii="Times New Roman" w:hAnsi="Times New Roman"/>
          <w:sz w:val="24"/>
          <w:szCs w:val="24"/>
        </w:rPr>
        <w:t>]</w:t>
      </w:r>
      <w:r w:rsidR="00B977F6">
        <w:rPr>
          <w:rFonts w:ascii="Times New Roman" w:hAnsi="Times New Roman"/>
          <w:sz w:val="24"/>
          <w:szCs w:val="24"/>
        </w:rPr>
        <w:t>.</w:t>
      </w:r>
      <w:r w:rsidR="00655B01">
        <w:rPr>
          <w:rFonts w:ascii="Times New Roman" w:hAnsi="Times New Roman"/>
          <w:sz w:val="24"/>
          <w:szCs w:val="24"/>
        </w:rPr>
        <w:t>”</w:t>
      </w:r>
      <w:r w:rsidR="00B532A2">
        <w:rPr>
          <w:rFonts w:ascii="Times New Roman" w:hAnsi="Times New Roman"/>
          <w:sz w:val="24"/>
          <w:szCs w:val="24"/>
        </w:rPr>
        <w:t xml:space="preserve">  The subpoena was </w:t>
      </w:r>
      <w:r w:rsidR="00CF4E45">
        <w:rPr>
          <w:rFonts w:ascii="Times New Roman" w:hAnsi="Times New Roman"/>
          <w:sz w:val="24"/>
          <w:szCs w:val="24"/>
        </w:rPr>
        <w:t>issued</w:t>
      </w:r>
      <w:r w:rsidR="00B532A2">
        <w:rPr>
          <w:rFonts w:ascii="Times New Roman" w:hAnsi="Times New Roman"/>
          <w:sz w:val="24"/>
          <w:szCs w:val="24"/>
        </w:rPr>
        <w:t xml:space="preserve"> by petitioners’ representative, </w:t>
      </w:r>
      <w:proofErr w:type="spellStart"/>
      <w:r w:rsidR="007662A2">
        <w:rPr>
          <w:rFonts w:ascii="Times New Roman" w:hAnsi="Times New Roman"/>
          <w:sz w:val="24"/>
          <w:szCs w:val="24"/>
        </w:rPr>
        <w:t>Al</w:t>
      </w:r>
      <w:r w:rsidR="00B532A2">
        <w:rPr>
          <w:rFonts w:ascii="Times New Roman" w:hAnsi="Times New Roman"/>
          <w:sz w:val="24"/>
          <w:szCs w:val="24"/>
        </w:rPr>
        <w:t>van</w:t>
      </w:r>
      <w:proofErr w:type="spellEnd"/>
      <w:r w:rsidR="00B5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2A2">
        <w:rPr>
          <w:rFonts w:ascii="Times New Roman" w:hAnsi="Times New Roman"/>
          <w:sz w:val="24"/>
          <w:szCs w:val="24"/>
        </w:rPr>
        <w:t>Bobrow</w:t>
      </w:r>
      <w:proofErr w:type="spellEnd"/>
      <w:r w:rsidR="007662A2">
        <w:rPr>
          <w:rFonts w:ascii="Times New Roman" w:hAnsi="Times New Roman"/>
          <w:sz w:val="24"/>
          <w:szCs w:val="24"/>
        </w:rPr>
        <w:t>, Esq</w:t>
      </w:r>
      <w:r w:rsidR="00B532A2">
        <w:rPr>
          <w:rFonts w:ascii="Times New Roman" w:hAnsi="Times New Roman"/>
          <w:sz w:val="24"/>
          <w:szCs w:val="24"/>
        </w:rPr>
        <w:t>.</w:t>
      </w:r>
    </w:p>
    <w:p w14:paraId="6C1FD184" w14:textId="77777777" w:rsidR="003A5B8F" w:rsidRDefault="00CA2A77" w:rsidP="00B46CF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CONCLUSIONS OF LAW</w:t>
      </w:r>
    </w:p>
    <w:p w14:paraId="588C80B1" w14:textId="0E8CE23E" w:rsidR="00C849B7" w:rsidRPr="00CF4E45" w:rsidRDefault="00E10C01" w:rsidP="00B46CF3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 xml:space="preserve">  </w:t>
      </w:r>
      <w:r w:rsidR="00B46CF3" w:rsidRPr="00CF4E45">
        <w:rPr>
          <w:rFonts w:ascii="Times New Roman" w:hAnsi="Times New Roman"/>
          <w:sz w:val="24"/>
          <w:szCs w:val="24"/>
        </w:rPr>
        <w:tab/>
      </w:r>
      <w:r w:rsidR="00645662" w:rsidRPr="00CF4E45">
        <w:rPr>
          <w:rFonts w:ascii="Times New Roman" w:hAnsi="Times New Roman"/>
          <w:sz w:val="24"/>
          <w:szCs w:val="24"/>
        </w:rPr>
        <w:t xml:space="preserve">A. </w:t>
      </w:r>
      <w:r w:rsidR="00EB4964" w:rsidRPr="00CF4E45">
        <w:rPr>
          <w:rFonts w:ascii="Times New Roman" w:hAnsi="Times New Roman"/>
          <w:sz w:val="24"/>
          <w:szCs w:val="24"/>
        </w:rPr>
        <w:t xml:space="preserve">  First, the Division has made a motion to withdraw or quash the subpoena served upon it in this matter.</w:t>
      </w:r>
      <w:r w:rsidR="00C849B7" w:rsidRPr="00CF4E45">
        <w:rPr>
          <w:rFonts w:ascii="Times New Roman" w:hAnsi="Times New Roman"/>
          <w:sz w:val="24"/>
          <w:szCs w:val="24"/>
        </w:rPr>
        <w:t xml:space="preserve">  CPLR 2304 clearly provides that a motion to quash, fix conditions or modify a subpoena shall be made promptly in the court in which the subpoena is returnable.  However, if the subpoena is not returnable in a court, </w:t>
      </w:r>
      <w:r w:rsidR="002A10A8" w:rsidRPr="00CF4E45">
        <w:rPr>
          <w:rFonts w:ascii="Times New Roman" w:hAnsi="Times New Roman"/>
          <w:sz w:val="24"/>
          <w:szCs w:val="24"/>
        </w:rPr>
        <w:t>“</w:t>
      </w:r>
      <w:r w:rsidR="00C849B7" w:rsidRPr="00CF4E45">
        <w:rPr>
          <w:rFonts w:ascii="Times New Roman" w:hAnsi="Times New Roman"/>
          <w:sz w:val="24"/>
          <w:szCs w:val="24"/>
        </w:rPr>
        <w:t>. . . a request to withdraw or modify the subpoena shall first be made to the person who issued it and a motion to quash, fix conditions or modify may thereafter be made in the supreme court”</w:t>
      </w:r>
      <w:r w:rsidR="00B977F6">
        <w:rPr>
          <w:rFonts w:ascii="Times New Roman" w:hAnsi="Times New Roman"/>
          <w:sz w:val="24"/>
          <w:szCs w:val="24"/>
        </w:rPr>
        <w:t xml:space="preserve"> (</w:t>
      </w:r>
      <w:r w:rsidR="00B977F6" w:rsidRPr="00B977F6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B977F6"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 w:rsidR="00B977F6">
        <w:rPr>
          <w:rFonts w:ascii="Times New Roman" w:hAnsi="Times New Roman"/>
          <w:sz w:val="24"/>
          <w:szCs w:val="24"/>
        </w:rPr>
        <w:t>).</w:t>
      </w:r>
      <w:r w:rsidR="00C849B7" w:rsidRPr="00CF4E45">
        <w:rPr>
          <w:rFonts w:ascii="Times New Roman" w:hAnsi="Times New Roman"/>
          <w:sz w:val="24"/>
          <w:szCs w:val="24"/>
        </w:rPr>
        <w:t xml:space="preserve">  Here</w:t>
      </w:r>
      <w:r w:rsidR="00B977F6">
        <w:rPr>
          <w:rFonts w:ascii="Times New Roman" w:hAnsi="Times New Roman"/>
          <w:sz w:val="24"/>
          <w:szCs w:val="24"/>
        </w:rPr>
        <w:t>,</w:t>
      </w:r>
      <w:r w:rsidR="00C849B7" w:rsidRPr="00CF4E45">
        <w:rPr>
          <w:rFonts w:ascii="Times New Roman" w:hAnsi="Times New Roman"/>
          <w:sz w:val="24"/>
          <w:szCs w:val="24"/>
        </w:rPr>
        <w:t xml:space="preserve"> the person who issued it was not an </w:t>
      </w:r>
      <w:r w:rsidR="00C849B7" w:rsidRPr="00CF4E45">
        <w:rPr>
          <w:rFonts w:ascii="Times New Roman" w:hAnsi="Times New Roman"/>
          <w:sz w:val="24"/>
          <w:szCs w:val="24"/>
        </w:rPr>
        <w:lastRenderedPageBreak/>
        <w:t xml:space="preserve">employee of the Division of Tax Appeals; rather it was issued by petitioners’ attorney, </w:t>
      </w:r>
      <w:r w:rsidR="00BC0E10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BC0E10">
        <w:rPr>
          <w:rFonts w:ascii="Times New Roman" w:hAnsi="Times New Roman"/>
          <w:sz w:val="24"/>
          <w:szCs w:val="24"/>
        </w:rPr>
        <w:t>Bobrow</w:t>
      </w:r>
      <w:proofErr w:type="spellEnd"/>
      <w:r w:rsidR="00BC0E10">
        <w:rPr>
          <w:rFonts w:ascii="Times New Roman" w:hAnsi="Times New Roman"/>
          <w:sz w:val="24"/>
          <w:szCs w:val="24"/>
        </w:rPr>
        <w:t xml:space="preserve">.  </w:t>
      </w:r>
      <w:r w:rsidR="003B5C55" w:rsidRPr="00CF4E45">
        <w:rPr>
          <w:rFonts w:ascii="Times New Roman" w:hAnsi="Times New Roman"/>
          <w:sz w:val="24"/>
          <w:szCs w:val="24"/>
        </w:rPr>
        <w:t xml:space="preserve">Accordingly, any motion to quash or modify must be brought in Supreme Court. </w:t>
      </w:r>
      <w:r w:rsidR="00A010F3" w:rsidRPr="00CF4E45">
        <w:rPr>
          <w:rFonts w:ascii="Times New Roman" w:hAnsi="Times New Roman"/>
          <w:sz w:val="24"/>
          <w:szCs w:val="24"/>
        </w:rPr>
        <w:t xml:space="preserve"> Contrary to the Division’s argument</w:t>
      </w:r>
      <w:r w:rsidR="00AA18FB">
        <w:rPr>
          <w:rFonts w:ascii="Times New Roman" w:hAnsi="Times New Roman"/>
          <w:sz w:val="24"/>
          <w:szCs w:val="24"/>
        </w:rPr>
        <w:t>,</w:t>
      </w:r>
      <w:r w:rsidR="00A010F3" w:rsidRPr="00CF4E45">
        <w:rPr>
          <w:rFonts w:ascii="Times New Roman" w:hAnsi="Times New Roman"/>
          <w:sz w:val="24"/>
          <w:szCs w:val="24"/>
        </w:rPr>
        <w:t xml:space="preserve"> </w:t>
      </w:r>
      <w:r w:rsidR="00C51267" w:rsidRPr="00CF4E45">
        <w:rPr>
          <w:rFonts w:ascii="Times New Roman" w:hAnsi="Times New Roman"/>
          <w:sz w:val="24"/>
          <w:szCs w:val="24"/>
        </w:rPr>
        <w:t xml:space="preserve">although the </w:t>
      </w:r>
      <w:r w:rsidR="00C96596">
        <w:rPr>
          <w:rFonts w:ascii="Times New Roman" w:hAnsi="Times New Roman"/>
          <w:sz w:val="24"/>
          <w:szCs w:val="24"/>
        </w:rPr>
        <w:t>Tax Appeals Tribunal</w:t>
      </w:r>
      <w:r w:rsidR="007533C2">
        <w:rPr>
          <w:rFonts w:ascii="Times New Roman" w:hAnsi="Times New Roman"/>
          <w:sz w:val="24"/>
          <w:szCs w:val="24"/>
        </w:rPr>
        <w:t>’</w:t>
      </w:r>
      <w:r w:rsidR="00C96596">
        <w:rPr>
          <w:rFonts w:ascii="Times New Roman" w:hAnsi="Times New Roman"/>
          <w:sz w:val="24"/>
          <w:szCs w:val="24"/>
        </w:rPr>
        <w:t xml:space="preserve">s </w:t>
      </w:r>
      <w:r w:rsidR="005829E3">
        <w:rPr>
          <w:rFonts w:ascii="Times New Roman" w:hAnsi="Times New Roman"/>
          <w:sz w:val="24"/>
          <w:szCs w:val="24"/>
        </w:rPr>
        <w:t xml:space="preserve">Rules </w:t>
      </w:r>
      <w:r w:rsidR="00C96596">
        <w:rPr>
          <w:rFonts w:ascii="Times New Roman" w:hAnsi="Times New Roman"/>
          <w:sz w:val="24"/>
          <w:szCs w:val="24"/>
        </w:rPr>
        <w:t>of Practice and Procedure</w:t>
      </w:r>
      <w:r w:rsidR="00BC0E10">
        <w:rPr>
          <w:rFonts w:ascii="Times New Roman" w:hAnsi="Times New Roman"/>
          <w:sz w:val="24"/>
          <w:szCs w:val="24"/>
        </w:rPr>
        <w:t xml:space="preserve"> (Rules) </w:t>
      </w:r>
      <w:r w:rsidR="00C51267" w:rsidRPr="00CF4E45">
        <w:rPr>
          <w:rFonts w:ascii="Times New Roman" w:hAnsi="Times New Roman"/>
          <w:sz w:val="24"/>
          <w:szCs w:val="24"/>
        </w:rPr>
        <w:t>provide that an attorney may issue a subpoena pursuant to CPLR 2302</w:t>
      </w:r>
      <w:r w:rsidR="00B977F6">
        <w:rPr>
          <w:rFonts w:ascii="Times New Roman" w:hAnsi="Times New Roman"/>
          <w:sz w:val="24"/>
          <w:szCs w:val="24"/>
        </w:rPr>
        <w:t xml:space="preserve"> (</w:t>
      </w:r>
      <w:r w:rsidR="00B977F6" w:rsidRPr="00B977F6">
        <w:rPr>
          <w:rFonts w:ascii="Times New Roman" w:hAnsi="Times New Roman"/>
          <w:b/>
          <w:bCs/>
          <w:i/>
          <w:iCs/>
          <w:sz w:val="24"/>
          <w:szCs w:val="24"/>
        </w:rPr>
        <w:t>see</w:t>
      </w:r>
      <w:r w:rsidR="00B977F6">
        <w:rPr>
          <w:rFonts w:ascii="Times New Roman" w:hAnsi="Times New Roman"/>
          <w:sz w:val="24"/>
          <w:szCs w:val="24"/>
        </w:rPr>
        <w:t xml:space="preserve"> 20 NYCRR § 3000.7</w:t>
      </w:r>
      <w:r w:rsidR="005829E3">
        <w:rPr>
          <w:rFonts w:ascii="Times New Roman" w:hAnsi="Times New Roman"/>
          <w:sz w:val="24"/>
          <w:szCs w:val="24"/>
        </w:rPr>
        <w:t>)</w:t>
      </w:r>
      <w:r w:rsidR="00C51267" w:rsidRPr="00CF4E45">
        <w:rPr>
          <w:rFonts w:ascii="Times New Roman" w:hAnsi="Times New Roman"/>
          <w:sz w:val="24"/>
          <w:szCs w:val="24"/>
        </w:rPr>
        <w:t xml:space="preserve">, </w:t>
      </w:r>
      <w:r w:rsidR="00A010F3" w:rsidRPr="00CF4E45">
        <w:rPr>
          <w:rFonts w:ascii="Times New Roman" w:hAnsi="Times New Roman"/>
          <w:sz w:val="24"/>
          <w:szCs w:val="24"/>
        </w:rPr>
        <w:t>t</w:t>
      </w:r>
      <w:r w:rsidR="003B5C55" w:rsidRPr="00CF4E45">
        <w:rPr>
          <w:rFonts w:ascii="Times New Roman" w:hAnsi="Times New Roman"/>
          <w:sz w:val="24"/>
          <w:szCs w:val="24"/>
        </w:rPr>
        <w:t xml:space="preserve">he Division of Tax Appeals has no jurisdiction to act on </w:t>
      </w:r>
      <w:r w:rsidR="00C51267" w:rsidRPr="00CF4E45">
        <w:rPr>
          <w:rFonts w:ascii="Times New Roman" w:hAnsi="Times New Roman"/>
          <w:sz w:val="24"/>
          <w:szCs w:val="24"/>
        </w:rPr>
        <w:t>such</w:t>
      </w:r>
      <w:r w:rsidR="003B5C55" w:rsidRPr="00CF4E45">
        <w:rPr>
          <w:rFonts w:ascii="Times New Roman" w:hAnsi="Times New Roman"/>
          <w:sz w:val="24"/>
          <w:szCs w:val="24"/>
        </w:rPr>
        <w:t xml:space="preserve"> subpoena (</w:t>
      </w:r>
      <w:r w:rsidR="003B5C55" w:rsidRPr="00CF4E45">
        <w:rPr>
          <w:rFonts w:ascii="Times New Roman" w:hAnsi="Times New Roman"/>
          <w:b/>
          <w:bCs/>
          <w:i/>
          <w:iCs/>
          <w:sz w:val="24"/>
          <w:szCs w:val="24"/>
        </w:rPr>
        <w:t>see</w:t>
      </w:r>
      <w:r w:rsidR="003B5C55" w:rsidRPr="00CF4E45">
        <w:rPr>
          <w:rFonts w:ascii="Times New Roman" w:hAnsi="Times New Roman"/>
          <w:sz w:val="24"/>
          <w:szCs w:val="24"/>
        </w:rPr>
        <w:t xml:space="preserve"> CPLR 2304).</w:t>
      </w:r>
      <w:r w:rsidR="00F15D54" w:rsidRPr="00CF4E45">
        <w:rPr>
          <w:rFonts w:ascii="Times New Roman" w:hAnsi="Times New Roman"/>
          <w:sz w:val="24"/>
          <w:szCs w:val="24"/>
        </w:rPr>
        <w:t xml:space="preserve">  </w:t>
      </w:r>
      <w:r w:rsidR="00C51267" w:rsidRPr="00CF4E45">
        <w:rPr>
          <w:rFonts w:ascii="Times New Roman" w:hAnsi="Times New Roman"/>
          <w:sz w:val="24"/>
          <w:szCs w:val="24"/>
        </w:rPr>
        <w:t xml:space="preserve">The case relied upon </w:t>
      </w:r>
      <w:r w:rsidR="00AA18FB">
        <w:rPr>
          <w:rFonts w:ascii="Times New Roman" w:hAnsi="Times New Roman"/>
          <w:sz w:val="24"/>
          <w:szCs w:val="24"/>
        </w:rPr>
        <w:t xml:space="preserve">by </w:t>
      </w:r>
      <w:r w:rsidR="00973006" w:rsidRPr="00CF4E45">
        <w:rPr>
          <w:rFonts w:ascii="Times New Roman" w:hAnsi="Times New Roman"/>
          <w:sz w:val="24"/>
          <w:szCs w:val="24"/>
        </w:rPr>
        <w:t>the Division,</w:t>
      </w:r>
      <w:r w:rsidR="002A10A8" w:rsidRPr="00CF4E45">
        <w:rPr>
          <w:rFonts w:ascii="Times New Roman" w:hAnsi="Times New Roman"/>
          <w:sz w:val="24"/>
          <w:szCs w:val="24"/>
        </w:rPr>
        <w:t xml:space="preserve"> </w:t>
      </w:r>
      <w:r w:rsidR="00973006" w:rsidRPr="00CF4E4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Matter of the Application of Moody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>’</w:t>
      </w:r>
      <w:r w:rsidR="00973006" w:rsidRPr="00CF4E4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 Corp. and Subsidiaries v New York State Dept of Taxation &amp; Fin., et al.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>(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Sup Ct, Albany County, April 3, 2017, </w:t>
      </w:r>
      <w:proofErr w:type="spellStart"/>
      <w:r w:rsidR="00973006" w:rsidRPr="00CF4E45">
        <w:rPr>
          <w:rFonts w:ascii="Times New Roman" w:hAnsi="Times New Roman"/>
          <w:color w:val="000000"/>
          <w:sz w:val="24"/>
          <w:szCs w:val="24"/>
        </w:rPr>
        <w:t>Ryba</w:t>
      </w:r>
      <w:proofErr w:type="spellEnd"/>
      <w:r w:rsidR="00973006" w:rsidRPr="00CF4E45">
        <w:rPr>
          <w:rFonts w:ascii="Times New Roman" w:hAnsi="Times New Roman"/>
          <w:color w:val="000000"/>
          <w:sz w:val="24"/>
          <w:szCs w:val="24"/>
        </w:rPr>
        <w:t>, J; Index No. 5594-16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>)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>(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>unpublished opinion)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>,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 for the proposition that the Division of Tax Appeals has jurisdiction to modify or quash a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>n attorney issued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 subpoena</w:t>
      </w:r>
      <w:r w:rsidR="00C96596">
        <w:rPr>
          <w:rFonts w:ascii="Times New Roman" w:hAnsi="Times New Roman"/>
          <w:color w:val="000000"/>
          <w:sz w:val="24"/>
          <w:szCs w:val="24"/>
        </w:rPr>
        <w:t>,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 is misplaced.  In </w:t>
      </w:r>
      <w:r w:rsidR="00973006" w:rsidRPr="00CF4E4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Moody’s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 xml:space="preserve">, the 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>Court held that if an agency has the power to issue subpoenas</w:t>
      </w:r>
      <w:r w:rsidR="005829E3">
        <w:rPr>
          <w:rFonts w:ascii="Times New Roman" w:hAnsi="Times New Roman"/>
          <w:color w:val="000000"/>
          <w:sz w:val="24"/>
          <w:szCs w:val="24"/>
        </w:rPr>
        <w:t xml:space="preserve"> in an administrative proceeding</w:t>
      </w:r>
      <w:r w:rsidR="002A10A8" w:rsidRPr="00CF4E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29E3">
        <w:rPr>
          <w:rFonts w:ascii="Times New Roman" w:hAnsi="Times New Roman"/>
          <w:color w:val="000000"/>
          <w:sz w:val="24"/>
          <w:szCs w:val="24"/>
        </w:rPr>
        <w:t>the supreme court does not have authority to issue a subpoena duces tecum for production of documents at that proceeding (</w:t>
      </w:r>
      <w:r w:rsidR="005829E3" w:rsidRPr="005829E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id</w:t>
      </w:r>
      <w:r w:rsidR="005829E3">
        <w:rPr>
          <w:rFonts w:ascii="Times New Roman" w:hAnsi="Times New Roman"/>
          <w:color w:val="000000"/>
          <w:sz w:val="24"/>
          <w:szCs w:val="24"/>
        </w:rPr>
        <w:t>).</w:t>
      </w:r>
      <w:r w:rsidR="008F460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829E3" w:rsidRPr="0017428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Moody’s</w:t>
      </w:r>
      <w:r w:rsidR="005829E3">
        <w:rPr>
          <w:rFonts w:ascii="Times New Roman" w:hAnsi="Times New Roman"/>
          <w:color w:val="000000"/>
          <w:sz w:val="24"/>
          <w:szCs w:val="24"/>
        </w:rPr>
        <w:t xml:space="preserve"> makes no mention of where jurisdiction lies to challenge an attorney issued subpoena</w:t>
      </w:r>
      <w:r w:rsidR="0017428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74287" w:rsidRPr="005829E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id</w:t>
      </w:r>
      <w:r w:rsidR="00174287">
        <w:rPr>
          <w:rFonts w:ascii="Times New Roman" w:hAnsi="Times New Roman"/>
          <w:color w:val="000000"/>
          <w:sz w:val="24"/>
          <w:szCs w:val="24"/>
        </w:rPr>
        <w:t xml:space="preserve">).  </w:t>
      </w:r>
      <w:r w:rsidR="005829E3">
        <w:rPr>
          <w:rFonts w:ascii="Times New Roman" w:hAnsi="Times New Roman"/>
          <w:color w:val="000000"/>
          <w:sz w:val="24"/>
          <w:szCs w:val="24"/>
        </w:rPr>
        <w:t xml:space="preserve">As set forth above, the Division of Tax Appeals lacks jurisdiction to modify or quash the subpoena at issue herein.  </w:t>
      </w:r>
      <w:r w:rsidR="00973006" w:rsidRPr="00CF4E45">
        <w:rPr>
          <w:rFonts w:ascii="Times New Roman" w:hAnsi="Times New Roman"/>
          <w:color w:val="000000"/>
          <w:sz w:val="24"/>
          <w:szCs w:val="24"/>
        </w:rPr>
        <w:t>A</w:t>
      </w:r>
      <w:r w:rsidR="00F15D54" w:rsidRPr="00CF4E45">
        <w:rPr>
          <w:rFonts w:ascii="Times New Roman" w:hAnsi="Times New Roman"/>
          <w:sz w:val="24"/>
          <w:szCs w:val="24"/>
        </w:rPr>
        <w:t xml:space="preserve">ccordingly, </w:t>
      </w:r>
      <w:r w:rsidR="00B55B20" w:rsidRPr="00CF4E45">
        <w:rPr>
          <w:rFonts w:ascii="Times New Roman" w:hAnsi="Times New Roman"/>
          <w:sz w:val="24"/>
          <w:szCs w:val="24"/>
        </w:rPr>
        <w:t>the Division’s motion is d</w:t>
      </w:r>
      <w:r w:rsidR="00BC0E10">
        <w:rPr>
          <w:rFonts w:ascii="Times New Roman" w:hAnsi="Times New Roman"/>
          <w:sz w:val="24"/>
          <w:szCs w:val="24"/>
        </w:rPr>
        <w:t>enied.</w:t>
      </w:r>
    </w:p>
    <w:p w14:paraId="6CA60E4E" w14:textId="5AB87449" w:rsidR="00EB4964" w:rsidRPr="00CF4E45" w:rsidRDefault="00F630AD" w:rsidP="00097195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  <w:vertAlign w:val="superscript"/>
        </w:rPr>
      </w:pPr>
      <w:r w:rsidRPr="00CF4E45">
        <w:rPr>
          <w:rFonts w:ascii="Times New Roman" w:hAnsi="Times New Roman"/>
          <w:sz w:val="24"/>
          <w:szCs w:val="24"/>
        </w:rPr>
        <w:tab/>
      </w:r>
      <w:r w:rsidR="00B55B20" w:rsidRPr="00CF4E45">
        <w:rPr>
          <w:rFonts w:ascii="Times New Roman" w:hAnsi="Times New Roman"/>
          <w:sz w:val="24"/>
          <w:szCs w:val="24"/>
        </w:rPr>
        <w:t xml:space="preserve">B.  </w:t>
      </w:r>
      <w:r w:rsidR="003B5C55" w:rsidRPr="00CF4E45">
        <w:rPr>
          <w:rFonts w:ascii="Times New Roman" w:hAnsi="Times New Roman"/>
          <w:sz w:val="24"/>
          <w:szCs w:val="24"/>
        </w:rPr>
        <w:t xml:space="preserve">Assuming the Division of Tax Appeals had jurisdiction to rule on the Division’s motion to withdraw or modify the subpoena, </w:t>
      </w:r>
      <w:r w:rsidRPr="00CF4E45">
        <w:rPr>
          <w:rFonts w:ascii="Times New Roman" w:hAnsi="Times New Roman"/>
          <w:sz w:val="24"/>
          <w:szCs w:val="24"/>
        </w:rPr>
        <w:t>it is observed that petitioners</w:t>
      </w:r>
      <w:r w:rsidR="0024434E" w:rsidRPr="00CF4E45">
        <w:rPr>
          <w:rFonts w:ascii="Times New Roman" w:hAnsi="Times New Roman"/>
          <w:sz w:val="24"/>
          <w:szCs w:val="24"/>
        </w:rPr>
        <w:t>,</w:t>
      </w:r>
      <w:r w:rsidRPr="00CF4E45">
        <w:rPr>
          <w:rFonts w:ascii="Times New Roman" w:hAnsi="Times New Roman"/>
          <w:sz w:val="24"/>
          <w:szCs w:val="24"/>
        </w:rPr>
        <w:t xml:space="preserve"> through their attorney</w:t>
      </w:r>
      <w:r w:rsidR="0024434E" w:rsidRPr="00CF4E45">
        <w:rPr>
          <w:rFonts w:ascii="Times New Roman" w:hAnsi="Times New Roman"/>
          <w:sz w:val="24"/>
          <w:szCs w:val="24"/>
        </w:rPr>
        <w:t>,</w:t>
      </w:r>
      <w:r w:rsidRPr="00CF4E45">
        <w:rPr>
          <w:rFonts w:ascii="Times New Roman" w:hAnsi="Times New Roman"/>
          <w:sz w:val="24"/>
          <w:szCs w:val="24"/>
        </w:rPr>
        <w:t xml:space="preserve"> lacked the requisite authority to issue </w:t>
      </w:r>
      <w:r w:rsidR="00AA18FB">
        <w:rPr>
          <w:rFonts w:ascii="Times New Roman" w:hAnsi="Times New Roman"/>
          <w:sz w:val="24"/>
          <w:szCs w:val="24"/>
        </w:rPr>
        <w:t xml:space="preserve">the </w:t>
      </w:r>
      <w:r w:rsidRPr="00CF4E45">
        <w:rPr>
          <w:rFonts w:ascii="Times New Roman" w:hAnsi="Times New Roman"/>
          <w:sz w:val="24"/>
          <w:szCs w:val="24"/>
        </w:rPr>
        <w:t xml:space="preserve">same.  </w:t>
      </w:r>
      <w:r w:rsidR="00EB4964" w:rsidRPr="00CF4E45">
        <w:rPr>
          <w:rFonts w:ascii="Times New Roman" w:hAnsi="Times New Roman"/>
          <w:sz w:val="24"/>
          <w:szCs w:val="24"/>
        </w:rPr>
        <w:t xml:space="preserve"> </w:t>
      </w:r>
      <w:r w:rsidRPr="00CF4E45">
        <w:rPr>
          <w:rFonts w:ascii="Times New Roman" w:hAnsi="Times New Roman"/>
          <w:sz w:val="24"/>
          <w:szCs w:val="24"/>
        </w:rPr>
        <w:t>T</w:t>
      </w:r>
      <w:r w:rsidR="00EB4964" w:rsidRPr="00CF4E45">
        <w:rPr>
          <w:rFonts w:ascii="Times New Roman" w:hAnsi="Times New Roman"/>
          <w:sz w:val="24"/>
          <w:szCs w:val="24"/>
        </w:rPr>
        <w:t>he subpoena was served</w:t>
      </w:r>
      <w:r w:rsidRPr="00CF4E45">
        <w:rPr>
          <w:rFonts w:ascii="Times New Roman" w:hAnsi="Times New Roman"/>
          <w:sz w:val="24"/>
          <w:szCs w:val="24"/>
        </w:rPr>
        <w:t xml:space="preserve"> upon the Division allegedly under</w:t>
      </w:r>
      <w:r w:rsidR="00EB4964" w:rsidRPr="00CF4E45">
        <w:rPr>
          <w:rFonts w:ascii="Times New Roman" w:hAnsi="Times New Roman"/>
          <w:sz w:val="24"/>
          <w:szCs w:val="24"/>
        </w:rPr>
        <w:t xml:space="preserve"> the authority of CPLR 3101 (a) (4)</w:t>
      </w:r>
      <w:r w:rsidR="00506D23" w:rsidRPr="00CF4E45">
        <w:rPr>
          <w:rFonts w:ascii="Times New Roman" w:hAnsi="Times New Roman"/>
          <w:sz w:val="24"/>
          <w:szCs w:val="24"/>
        </w:rPr>
        <w:t>.</w:t>
      </w:r>
      <w:r w:rsidRPr="00CF4E45">
        <w:rPr>
          <w:rFonts w:ascii="Times New Roman" w:hAnsi="Times New Roman"/>
          <w:sz w:val="24"/>
          <w:szCs w:val="24"/>
        </w:rPr>
        <w:t xml:space="preserve">  </w:t>
      </w:r>
      <w:r w:rsidR="00EB4964" w:rsidRPr="00CF4E45">
        <w:rPr>
          <w:rFonts w:ascii="Times New Roman" w:hAnsi="Times New Roman"/>
          <w:sz w:val="24"/>
          <w:szCs w:val="24"/>
        </w:rPr>
        <w:t xml:space="preserve">As noted by the Division, CPLR </w:t>
      </w:r>
      <w:r w:rsidRPr="00CF4E45">
        <w:rPr>
          <w:rFonts w:ascii="Times New Roman" w:hAnsi="Times New Roman"/>
          <w:sz w:val="24"/>
          <w:szCs w:val="24"/>
        </w:rPr>
        <w:t>3101 (a) (4) i</w:t>
      </w:r>
      <w:r w:rsidR="00EB4964" w:rsidRPr="00CF4E45">
        <w:rPr>
          <w:rFonts w:ascii="Times New Roman" w:hAnsi="Times New Roman"/>
          <w:sz w:val="24"/>
          <w:szCs w:val="24"/>
        </w:rPr>
        <w:t>s a disclosure device not applicable to proceedings in the Division of Tax Appeals.</w:t>
      </w:r>
      <w:r w:rsidR="00097195" w:rsidRPr="00CF4E45">
        <w:rPr>
          <w:rFonts w:ascii="Times New Roman" w:hAnsi="Times New Roman"/>
          <w:sz w:val="24"/>
          <w:szCs w:val="24"/>
        </w:rPr>
        <w:t xml:space="preserve">  Section 305 of the State Administrative Procedure Act provides that “[e]ach agency having power to conduct adjudicatory proceedings may adopt rules providing for discovery and depositions to the extent and in the manner appropriate to its proceedings.”  The disclosure </w:t>
      </w:r>
      <w:r w:rsidR="00097195" w:rsidRPr="00CF4E45">
        <w:rPr>
          <w:rFonts w:ascii="Times New Roman" w:hAnsi="Times New Roman"/>
          <w:sz w:val="24"/>
          <w:szCs w:val="24"/>
        </w:rPr>
        <w:lastRenderedPageBreak/>
        <w:t>devices of the CPLR do not apply to an administrative agency unless they are adopted as a rule by the agency (</w:t>
      </w:r>
      <w:r w:rsidR="00097195" w:rsidRPr="00CF4E45">
        <w:rPr>
          <w:rFonts w:ascii="Times New Roman" w:hAnsi="Times New Roman"/>
          <w:b/>
          <w:bCs/>
          <w:i/>
          <w:iCs/>
          <w:sz w:val="24"/>
          <w:szCs w:val="24"/>
        </w:rPr>
        <w:t>Matter of Heim v Regan</w:t>
      </w:r>
      <w:r w:rsidR="00097195" w:rsidRPr="00CF4E45">
        <w:rPr>
          <w:rFonts w:ascii="Times New Roman" w:hAnsi="Times New Roman"/>
          <w:sz w:val="24"/>
          <w:szCs w:val="24"/>
        </w:rPr>
        <w:t>, 90 AD2d 656</w:t>
      </w:r>
      <w:r w:rsidR="000C52C7" w:rsidRPr="00CF4E45">
        <w:rPr>
          <w:rFonts w:ascii="Times New Roman" w:hAnsi="Times New Roman"/>
          <w:sz w:val="24"/>
          <w:szCs w:val="24"/>
        </w:rPr>
        <w:t xml:space="preserve"> [3</w:t>
      </w:r>
      <w:r w:rsidR="00BC0E10">
        <w:rPr>
          <w:rFonts w:ascii="Times New Roman" w:hAnsi="Times New Roman"/>
          <w:sz w:val="24"/>
          <w:szCs w:val="24"/>
        </w:rPr>
        <w:t xml:space="preserve">d Dept </w:t>
      </w:r>
      <w:r w:rsidR="000C52C7" w:rsidRPr="00CF4E45">
        <w:rPr>
          <w:rFonts w:ascii="Times New Roman" w:hAnsi="Times New Roman"/>
          <w:sz w:val="24"/>
          <w:szCs w:val="24"/>
        </w:rPr>
        <w:t>1982]</w:t>
      </w:r>
      <w:r w:rsidR="00097195" w:rsidRPr="00CF4E45">
        <w:rPr>
          <w:rFonts w:ascii="Times New Roman" w:hAnsi="Times New Roman"/>
          <w:sz w:val="24"/>
          <w:szCs w:val="24"/>
        </w:rPr>
        <w:t>).</w:t>
      </w:r>
      <w:r w:rsidR="00EB4964" w:rsidRPr="00CF4E45">
        <w:rPr>
          <w:rFonts w:ascii="Times New Roman" w:hAnsi="Times New Roman"/>
          <w:sz w:val="24"/>
          <w:szCs w:val="24"/>
        </w:rPr>
        <w:t xml:space="preserve"> The</w:t>
      </w:r>
      <w:r w:rsidR="0024434E" w:rsidRPr="00CF4E45">
        <w:rPr>
          <w:rFonts w:ascii="Times New Roman" w:hAnsi="Times New Roman"/>
          <w:sz w:val="24"/>
          <w:szCs w:val="24"/>
        </w:rPr>
        <w:t xml:space="preserve"> </w:t>
      </w:r>
      <w:r w:rsidR="00886287" w:rsidRPr="00CF4E45">
        <w:rPr>
          <w:rFonts w:ascii="Times New Roman" w:hAnsi="Times New Roman"/>
          <w:sz w:val="24"/>
          <w:szCs w:val="24"/>
        </w:rPr>
        <w:t>Rules</w:t>
      </w:r>
      <w:r w:rsidR="0024434E" w:rsidRPr="00CF4E45">
        <w:rPr>
          <w:rFonts w:ascii="Times New Roman" w:hAnsi="Times New Roman"/>
          <w:sz w:val="24"/>
          <w:szCs w:val="24"/>
        </w:rPr>
        <w:t xml:space="preserve"> </w:t>
      </w:r>
      <w:r w:rsidR="00EB4964" w:rsidRPr="00CF4E45">
        <w:rPr>
          <w:rFonts w:ascii="Times New Roman" w:hAnsi="Times New Roman"/>
          <w:sz w:val="24"/>
          <w:szCs w:val="24"/>
        </w:rPr>
        <w:t xml:space="preserve">reject the applicability of the disclosure devices of the CPLR to administrative proceedings in the Division of Tax Appeals and allow for only limited discovery. </w:t>
      </w:r>
      <w:r w:rsidR="00BC0E10">
        <w:rPr>
          <w:rFonts w:ascii="Times New Roman" w:hAnsi="Times New Roman"/>
          <w:sz w:val="24"/>
          <w:szCs w:val="24"/>
        </w:rPr>
        <w:t xml:space="preserve"> </w:t>
      </w:r>
      <w:r w:rsidR="00EB4964" w:rsidRPr="00CF4E45">
        <w:rPr>
          <w:rFonts w:ascii="Times New Roman" w:hAnsi="Times New Roman"/>
          <w:sz w:val="24"/>
          <w:szCs w:val="24"/>
        </w:rPr>
        <w:t>S</w:t>
      </w:r>
      <w:r w:rsidR="00886287" w:rsidRPr="00CF4E45">
        <w:rPr>
          <w:rFonts w:ascii="Times New Roman" w:hAnsi="Times New Roman"/>
          <w:sz w:val="24"/>
          <w:szCs w:val="24"/>
        </w:rPr>
        <w:t>pecifically, s</w:t>
      </w:r>
      <w:r w:rsidR="00EB4964" w:rsidRPr="00CF4E45">
        <w:rPr>
          <w:rFonts w:ascii="Times New Roman" w:hAnsi="Times New Roman"/>
          <w:sz w:val="24"/>
          <w:szCs w:val="24"/>
        </w:rPr>
        <w:t>ection 3000.5</w:t>
      </w:r>
      <w:r w:rsidR="005F5B60">
        <w:rPr>
          <w:rFonts w:ascii="Times New Roman" w:hAnsi="Times New Roman"/>
          <w:sz w:val="24"/>
          <w:szCs w:val="24"/>
        </w:rPr>
        <w:t xml:space="preserve"> </w:t>
      </w:r>
      <w:r w:rsidR="00EB4964" w:rsidRPr="00CF4E45">
        <w:rPr>
          <w:rFonts w:ascii="Times New Roman" w:hAnsi="Times New Roman"/>
          <w:sz w:val="24"/>
          <w:szCs w:val="24"/>
        </w:rPr>
        <w:t>(a) of the Rules</w:t>
      </w:r>
      <w:r w:rsidR="00886287" w:rsidRPr="00CF4E45">
        <w:rPr>
          <w:rFonts w:ascii="Times New Roman" w:hAnsi="Times New Roman"/>
          <w:sz w:val="24"/>
          <w:szCs w:val="24"/>
        </w:rPr>
        <w:t xml:space="preserve"> </w:t>
      </w:r>
      <w:r w:rsidR="00EB4964" w:rsidRPr="00CF4E45">
        <w:rPr>
          <w:rFonts w:ascii="Times New Roman" w:hAnsi="Times New Roman"/>
          <w:sz w:val="24"/>
          <w:szCs w:val="24"/>
        </w:rPr>
        <w:t>provides:</w:t>
      </w:r>
    </w:p>
    <w:p w14:paraId="44F1ACF8" w14:textId="147D9411" w:rsidR="002559BA" w:rsidRPr="00CF4E45" w:rsidRDefault="00EB4964" w:rsidP="002559BA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 xml:space="preserve">“General. To better enable the parties to expeditiously resolve the controversy, this Part permits an application to the tribunal for an order, known as a motion, provided such motion is for an order which is appropriate under the Tax Law and the CPLR, but does not include </w:t>
      </w:r>
      <w:r w:rsidR="00983906" w:rsidRPr="00CF4E45">
        <w:rPr>
          <w:rFonts w:ascii="Times New Roman" w:hAnsi="Times New Roman"/>
          <w:sz w:val="24"/>
          <w:szCs w:val="24"/>
        </w:rPr>
        <w:t>. . . . .</w:t>
      </w:r>
      <w:r w:rsidRPr="00CF4E45">
        <w:rPr>
          <w:rFonts w:ascii="Times New Roman" w:hAnsi="Times New Roman"/>
          <w:sz w:val="24"/>
          <w:szCs w:val="24"/>
        </w:rPr>
        <w:t>motions related to discovery procedures as provided for in the CPLR.</w:t>
      </w:r>
      <w:r w:rsidR="00BC0E10">
        <w:rPr>
          <w:rFonts w:ascii="Times New Roman" w:hAnsi="Times New Roman"/>
          <w:sz w:val="24"/>
          <w:szCs w:val="24"/>
        </w:rPr>
        <w:t xml:space="preserve"> </w:t>
      </w:r>
      <w:r w:rsidRPr="00CF4E45">
        <w:rPr>
          <w:rFonts w:ascii="Times New Roman" w:hAnsi="Times New Roman"/>
          <w:sz w:val="24"/>
          <w:szCs w:val="24"/>
        </w:rPr>
        <w:t xml:space="preserve"> For good cause shown, the tribunal or an administrative law judge designated by the tribunal may grant a form of discovery by order.”</w:t>
      </w:r>
    </w:p>
    <w:p w14:paraId="17FD3CDD" w14:textId="77777777" w:rsidR="002559BA" w:rsidRPr="00CF4E45" w:rsidRDefault="002559BA" w:rsidP="002559BA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</w:p>
    <w:p w14:paraId="037F8D15" w14:textId="030CBB98" w:rsidR="00F630AD" w:rsidRPr="00CF4E45" w:rsidRDefault="002559BA" w:rsidP="00EB4964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ab/>
        <w:t xml:space="preserve">Thus, under the </w:t>
      </w:r>
      <w:r w:rsidR="00C96596">
        <w:rPr>
          <w:rFonts w:ascii="Times New Roman" w:hAnsi="Times New Roman"/>
          <w:sz w:val="24"/>
          <w:szCs w:val="24"/>
        </w:rPr>
        <w:t>Rules</w:t>
      </w:r>
      <w:r w:rsidRPr="00CF4E45">
        <w:rPr>
          <w:rFonts w:ascii="Times New Roman" w:hAnsi="Times New Roman"/>
          <w:sz w:val="24"/>
          <w:szCs w:val="24"/>
        </w:rPr>
        <w:t xml:space="preserve">, a </w:t>
      </w:r>
      <w:r w:rsidR="00EB4964" w:rsidRPr="00CF4E45">
        <w:rPr>
          <w:rFonts w:ascii="Times New Roman" w:hAnsi="Times New Roman"/>
          <w:sz w:val="24"/>
          <w:szCs w:val="24"/>
        </w:rPr>
        <w:t>party who wishes to request discovery must: (1) make a motion to the Division of Tax Appeals</w:t>
      </w:r>
      <w:r w:rsidR="0024434E" w:rsidRPr="00CF4E45">
        <w:rPr>
          <w:rFonts w:ascii="Times New Roman" w:hAnsi="Times New Roman"/>
          <w:sz w:val="24"/>
          <w:szCs w:val="24"/>
        </w:rPr>
        <w:t>;</w:t>
      </w:r>
      <w:r w:rsidR="00EB4964" w:rsidRPr="00CF4E45">
        <w:rPr>
          <w:rFonts w:ascii="Times New Roman" w:hAnsi="Times New Roman"/>
          <w:sz w:val="24"/>
          <w:szCs w:val="24"/>
        </w:rPr>
        <w:t xml:space="preserve"> and (2) establish good cause for granting the motion.</w:t>
      </w:r>
      <w:r w:rsidRPr="00CF4E45">
        <w:rPr>
          <w:rFonts w:ascii="Times New Roman" w:hAnsi="Times New Roman"/>
          <w:sz w:val="24"/>
          <w:szCs w:val="24"/>
        </w:rPr>
        <w:t xml:space="preserve">  Here, no such motion was ever made</w:t>
      </w:r>
      <w:r w:rsidR="00C96596">
        <w:rPr>
          <w:rFonts w:ascii="Times New Roman" w:hAnsi="Times New Roman"/>
          <w:sz w:val="24"/>
          <w:szCs w:val="24"/>
        </w:rPr>
        <w:t xml:space="preserve"> (</w:t>
      </w:r>
      <w:r w:rsidR="00C96596">
        <w:rPr>
          <w:rFonts w:ascii="Times New Roman" w:hAnsi="Times New Roman"/>
          <w:b/>
          <w:bCs/>
          <w:i/>
          <w:iCs/>
          <w:sz w:val="24"/>
          <w:szCs w:val="24"/>
        </w:rPr>
        <w:t>id)</w:t>
      </w:r>
      <w:r w:rsidRPr="00CF4E45">
        <w:rPr>
          <w:rFonts w:ascii="Times New Roman" w:hAnsi="Times New Roman"/>
          <w:sz w:val="24"/>
          <w:szCs w:val="24"/>
        </w:rPr>
        <w:t>.</w:t>
      </w:r>
    </w:p>
    <w:p w14:paraId="4CF7D25F" w14:textId="741186A8" w:rsidR="00B55B20" w:rsidRPr="00CF4E45" w:rsidRDefault="00F630AD" w:rsidP="00EB4964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ab/>
      </w:r>
      <w:r w:rsidR="00B55B20" w:rsidRPr="00CF4E45">
        <w:rPr>
          <w:rFonts w:ascii="Times New Roman" w:hAnsi="Times New Roman"/>
          <w:sz w:val="24"/>
          <w:szCs w:val="24"/>
        </w:rPr>
        <w:t>C.  Moreover,</w:t>
      </w:r>
      <w:r w:rsidR="007D2C25" w:rsidRPr="00CF4E45">
        <w:rPr>
          <w:rFonts w:ascii="Times New Roman" w:hAnsi="Times New Roman"/>
          <w:sz w:val="24"/>
          <w:szCs w:val="24"/>
        </w:rPr>
        <w:t xml:space="preserve"> while the Division of Tax Appeals</w:t>
      </w:r>
      <w:r w:rsidR="00C96596">
        <w:rPr>
          <w:rFonts w:ascii="Times New Roman" w:hAnsi="Times New Roman"/>
          <w:sz w:val="24"/>
          <w:szCs w:val="24"/>
        </w:rPr>
        <w:t>’</w:t>
      </w:r>
      <w:r w:rsidR="007D2C25" w:rsidRPr="00CF4E45">
        <w:rPr>
          <w:rFonts w:ascii="Times New Roman" w:hAnsi="Times New Roman"/>
          <w:sz w:val="24"/>
          <w:szCs w:val="24"/>
        </w:rPr>
        <w:t xml:space="preserve"> enabling legislation specifically authorizes the use of attorney subpoenas issued pursuant to CP</w:t>
      </w:r>
      <w:r w:rsidR="00C96596">
        <w:rPr>
          <w:rFonts w:ascii="Times New Roman" w:hAnsi="Times New Roman"/>
          <w:sz w:val="24"/>
          <w:szCs w:val="24"/>
        </w:rPr>
        <w:t>L</w:t>
      </w:r>
      <w:r w:rsidR="007D2C25" w:rsidRPr="00CF4E45">
        <w:rPr>
          <w:rFonts w:ascii="Times New Roman" w:hAnsi="Times New Roman"/>
          <w:sz w:val="24"/>
          <w:szCs w:val="24"/>
        </w:rPr>
        <w:t>R 2302 (</w:t>
      </w:r>
      <w:r w:rsidR="007D2C25" w:rsidRPr="00CF4E45">
        <w:rPr>
          <w:rFonts w:ascii="Times New Roman" w:hAnsi="Times New Roman"/>
          <w:b/>
          <w:bCs/>
          <w:i/>
          <w:iCs/>
          <w:sz w:val="24"/>
          <w:szCs w:val="24"/>
        </w:rPr>
        <w:t xml:space="preserve">see </w:t>
      </w:r>
      <w:r w:rsidR="007D2C25" w:rsidRPr="00CF4E45">
        <w:rPr>
          <w:rFonts w:ascii="Times New Roman" w:hAnsi="Times New Roman"/>
          <w:sz w:val="24"/>
          <w:szCs w:val="24"/>
        </w:rPr>
        <w:t xml:space="preserve">Tax Law </w:t>
      </w:r>
      <w:r w:rsidR="00C96596">
        <w:rPr>
          <w:rFonts w:ascii="Times New Roman" w:hAnsi="Times New Roman"/>
          <w:sz w:val="24"/>
          <w:szCs w:val="24"/>
        </w:rPr>
        <w:t xml:space="preserve">§ </w:t>
      </w:r>
      <w:r w:rsidR="007D2C25" w:rsidRPr="00CF4E45">
        <w:rPr>
          <w:rFonts w:ascii="Times New Roman" w:hAnsi="Times New Roman"/>
          <w:sz w:val="24"/>
          <w:szCs w:val="24"/>
        </w:rPr>
        <w:t xml:space="preserve">2016), </w:t>
      </w:r>
      <w:r w:rsidR="00FF65E9" w:rsidRPr="00CF4E45">
        <w:rPr>
          <w:rFonts w:ascii="Times New Roman" w:hAnsi="Times New Roman"/>
          <w:sz w:val="24"/>
          <w:szCs w:val="24"/>
        </w:rPr>
        <w:t xml:space="preserve">an attorney </w:t>
      </w:r>
      <w:r w:rsidR="007D2C25" w:rsidRPr="00CF4E45">
        <w:rPr>
          <w:rFonts w:ascii="Times New Roman" w:hAnsi="Times New Roman"/>
          <w:sz w:val="24"/>
          <w:szCs w:val="24"/>
        </w:rPr>
        <w:t>subpoena cann</w:t>
      </w:r>
      <w:r w:rsidR="007924BC" w:rsidRPr="00CF4E45">
        <w:rPr>
          <w:rFonts w:ascii="Times New Roman" w:hAnsi="Times New Roman"/>
          <w:sz w:val="24"/>
          <w:szCs w:val="24"/>
        </w:rPr>
        <w:t>o</w:t>
      </w:r>
      <w:r w:rsidR="007D2C25" w:rsidRPr="00CF4E45">
        <w:rPr>
          <w:rFonts w:ascii="Times New Roman" w:hAnsi="Times New Roman"/>
          <w:sz w:val="24"/>
          <w:szCs w:val="24"/>
        </w:rPr>
        <w:t>t be use</w:t>
      </w:r>
      <w:r w:rsidR="00B04AA2" w:rsidRPr="00CF4E45">
        <w:rPr>
          <w:rFonts w:ascii="Times New Roman" w:hAnsi="Times New Roman"/>
          <w:sz w:val="24"/>
          <w:szCs w:val="24"/>
        </w:rPr>
        <w:t>d</w:t>
      </w:r>
      <w:r w:rsidR="007D2C25" w:rsidRPr="00CF4E45">
        <w:rPr>
          <w:rFonts w:ascii="Times New Roman" w:hAnsi="Times New Roman"/>
          <w:sz w:val="24"/>
          <w:szCs w:val="24"/>
        </w:rPr>
        <w:t xml:space="preserve"> to subpoena government records</w:t>
      </w:r>
      <w:r w:rsidR="005C4AFB" w:rsidRPr="00CF4E45">
        <w:rPr>
          <w:rFonts w:ascii="Times New Roman" w:hAnsi="Times New Roman"/>
          <w:sz w:val="24"/>
          <w:szCs w:val="24"/>
        </w:rPr>
        <w:t xml:space="preserve"> (</w:t>
      </w:r>
      <w:r w:rsidR="005C4AFB" w:rsidRPr="00CF4E45">
        <w:rPr>
          <w:rFonts w:ascii="Times New Roman" w:hAnsi="Times New Roman"/>
          <w:b/>
          <w:bCs/>
          <w:i/>
          <w:iCs/>
          <w:sz w:val="24"/>
          <w:szCs w:val="24"/>
        </w:rPr>
        <w:t>see</w:t>
      </w:r>
      <w:r w:rsidR="005C4AFB" w:rsidRPr="00CF4E45">
        <w:rPr>
          <w:rFonts w:ascii="Times New Roman" w:hAnsi="Times New Roman"/>
          <w:sz w:val="24"/>
          <w:szCs w:val="24"/>
        </w:rPr>
        <w:t xml:space="preserve"> CPLR 2307).  </w:t>
      </w:r>
      <w:r w:rsidR="00B55B20" w:rsidRPr="00CF4E45">
        <w:rPr>
          <w:rFonts w:ascii="Times New Roman" w:hAnsi="Times New Roman"/>
          <w:sz w:val="24"/>
          <w:szCs w:val="24"/>
        </w:rPr>
        <w:t>T</w:t>
      </w:r>
      <w:r w:rsidR="00FF65E9" w:rsidRPr="00CF4E45">
        <w:rPr>
          <w:rFonts w:ascii="Times New Roman" w:hAnsi="Times New Roman"/>
          <w:sz w:val="24"/>
          <w:szCs w:val="24"/>
        </w:rPr>
        <w:t xml:space="preserve">he authority to issue such </w:t>
      </w:r>
      <w:r w:rsidR="00B55B20" w:rsidRPr="00CF4E45">
        <w:rPr>
          <w:rFonts w:ascii="Times New Roman" w:hAnsi="Times New Roman"/>
          <w:sz w:val="24"/>
          <w:szCs w:val="24"/>
        </w:rPr>
        <w:t xml:space="preserve">a </w:t>
      </w:r>
      <w:r w:rsidR="00FF65E9" w:rsidRPr="00CF4E45">
        <w:rPr>
          <w:rFonts w:ascii="Times New Roman" w:hAnsi="Times New Roman"/>
          <w:sz w:val="24"/>
          <w:szCs w:val="24"/>
        </w:rPr>
        <w:t xml:space="preserve">subpoena in a proceeding </w:t>
      </w:r>
      <w:r w:rsidR="00B55B20" w:rsidRPr="00CF4E45">
        <w:rPr>
          <w:rFonts w:ascii="Times New Roman" w:hAnsi="Times New Roman"/>
          <w:sz w:val="24"/>
          <w:szCs w:val="24"/>
        </w:rPr>
        <w:t xml:space="preserve">before the </w:t>
      </w:r>
      <w:r w:rsidR="00FF65E9" w:rsidRPr="00CF4E45">
        <w:rPr>
          <w:rFonts w:ascii="Times New Roman" w:hAnsi="Times New Roman"/>
          <w:sz w:val="24"/>
          <w:szCs w:val="24"/>
        </w:rPr>
        <w:t>Division of Tax Appeals is vested in the Division of Tax Appeals (</w:t>
      </w:r>
      <w:r w:rsidR="00FF65E9" w:rsidRPr="00CF4E45">
        <w:rPr>
          <w:rFonts w:ascii="Times New Roman" w:hAnsi="Times New Roman"/>
          <w:b/>
          <w:bCs/>
          <w:i/>
          <w:iCs/>
          <w:sz w:val="24"/>
          <w:szCs w:val="24"/>
        </w:rPr>
        <w:t>see</w:t>
      </w:r>
      <w:r w:rsidR="00FF65E9" w:rsidRPr="00CF4E45">
        <w:rPr>
          <w:rFonts w:ascii="Times New Roman" w:hAnsi="Times New Roman"/>
          <w:sz w:val="24"/>
          <w:szCs w:val="24"/>
        </w:rPr>
        <w:t xml:space="preserve"> Tax Law </w:t>
      </w:r>
      <w:r w:rsidR="00C96596">
        <w:rPr>
          <w:rFonts w:ascii="Times New Roman" w:hAnsi="Times New Roman"/>
          <w:sz w:val="24"/>
          <w:szCs w:val="24"/>
        </w:rPr>
        <w:t xml:space="preserve">§ </w:t>
      </w:r>
      <w:r w:rsidR="00FF65E9" w:rsidRPr="00CF4E45">
        <w:rPr>
          <w:rFonts w:ascii="Times New Roman" w:hAnsi="Times New Roman"/>
          <w:sz w:val="24"/>
          <w:szCs w:val="24"/>
        </w:rPr>
        <w:t xml:space="preserve">2016; CPLR 2302 </w:t>
      </w:r>
      <w:r w:rsidR="00FF65E9" w:rsidRPr="00CF4E45">
        <w:rPr>
          <w:rFonts w:ascii="Times New Roman" w:hAnsi="Times New Roman"/>
          <w:b/>
          <w:bCs/>
          <w:i/>
          <w:iCs/>
          <w:sz w:val="24"/>
          <w:szCs w:val="24"/>
        </w:rPr>
        <w:t>cf.</w:t>
      </w:r>
      <w:r w:rsidR="00FF65E9" w:rsidRPr="00CF4E45">
        <w:rPr>
          <w:rFonts w:ascii="Times New Roman" w:hAnsi="Times New Roman"/>
          <w:sz w:val="24"/>
          <w:szCs w:val="24"/>
        </w:rPr>
        <w:t xml:space="preserve"> CPLR 2307; </w:t>
      </w:r>
      <w:r w:rsidR="00FF65E9" w:rsidRPr="00CF4E45">
        <w:rPr>
          <w:rFonts w:ascii="Times New Roman" w:hAnsi="Times New Roman"/>
          <w:b/>
          <w:bCs/>
          <w:i/>
          <w:iCs/>
          <w:sz w:val="24"/>
          <w:szCs w:val="24"/>
        </w:rPr>
        <w:t>Irwin v Board of Regents of University of State of New York</w:t>
      </w:r>
      <w:r w:rsidR="00FF65E9" w:rsidRPr="00CF4E45">
        <w:rPr>
          <w:rFonts w:ascii="Times New Roman" w:hAnsi="Times New Roman"/>
          <w:sz w:val="24"/>
          <w:szCs w:val="24"/>
        </w:rPr>
        <w:t>, 27 NY2d 29 [1970]</w:t>
      </w:r>
      <w:r w:rsidR="00174287">
        <w:rPr>
          <w:rFonts w:ascii="Times New Roman" w:hAnsi="Times New Roman"/>
          <w:sz w:val="24"/>
          <w:szCs w:val="24"/>
        </w:rPr>
        <w:t xml:space="preserve">; </w:t>
      </w:r>
      <w:r w:rsidR="00174287" w:rsidRPr="00CF4E4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Matter of the Application of Moody</w:t>
      </w:r>
      <w:r w:rsidR="00174287" w:rsidRPr="00CF4E45">
        <w:rPr>
          <w:rFonts w:ascii="Times New Roman" w:hAnsi="Times New Roman"/>
          <w:color w:val="000000"/>
          <w:sz w:val="24"/>
          <w:szCs w:val="24"/>
        </w:rPr>
        <w:t>’</w:t>
      </w:r>
      <w:r w:rsidR="00174287" w:rsidRPr="00CF4E4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 Corp. and Subsidiaries v New York State Dept of Taxation &amp; Fin., et al.</w:t>
      </w:r>
      <w:r w:rsidR="00FF65E9" w:rsidRPr="00CF4E45">
        <w:rPr>
          <w:rFonts w:ascii="Times New Roman" w:hAnsi="Times New Roman"/>
          <w:sz w:val="24"/>
          <w:szCs w:val="24"/>
        </w:rPr>
        <w:t xml:space="preserve">).  Here, petitioners never requested </w:t>
      </w:r>
      <w:r w:rsidR="00AA18FB">
        <w:rPr>
          <w:rFonts w:ascii="Times New Roman" w:hAnsi="Times New Roman"/>
          <w:sz w:val="24"/>
          <w:szCs w:val="24"/>
        </w:rPr>
        <w:t xml:space="preserve">that </w:t>
      </w:r>
      <w:r w:rsidR="00FF65E9" w:rsidRPr="00CF4E45">
        <w:rPr>
          <w:rFonts w:ascii="Times New Roman" w:hAnsi="Times New Roman"/>
          <w:sz w:val="24"/>
          <w:szCs w:val="24"/>
        </w:rPr>
        <w:t>the undersigned Administrative Law Judge issue a subpoena for</w:t>
      </w:r>
      <w:r w:rsidR="00174287">
        <w:rPr>
          <w:rFonts w:ascii="Times New Roman" w:hAnsi="Times New Roman"/>
          <w:sz w:val="24"/>
          <w:szCs w:val="24"/>
        </w:rPr>
        <w:t xml:space="preserve"> </w:t>
      </w:r>
      <w:r w:rsidR="00FF65E9" w:rsidRPr="00CF4E45">
        <w:rPr>
          <w:rFonts w:ascii="Times New Roman" w:hAnsi="Times New Roman"/>
          <w:sz w:val="24"/>
          <w:szCs w:val="24"/>
        </w:rPr>
        <w:t>the production of such records prior to the hearing</w:t>
      </w:r>
      <w:r w:rsidR="00174287">
        <w:rPr>
          <w:rFonts w:ascii="Times New Roman" w:hAnsi="Times New Roman"/>
          <w:sz w:val="24"/>
          <w:szCs w:val="24"/>
        </w:rPr>
        <w:t xml:space="preserve"> in this matter.</w:t>
      </w:r>
    </w:p>
    <w:p w14:paraId="45C64E0A" w14:textId="78F6347C" w:rsidR="00EB4964" w:rsidRPr="00CF4E45" w:rsidRDefault="00B55B20" w:rsidP="00EB4964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ab/>
      </w:r>
      <w:r w:rsidR="0024434E" w:rsidRPr="00CF4E45">
        <w:rPr>
          <w:rFonts w:ascii="Times New Roman" w:hAnsi="Times New Roman"/>
          <w:sz w:val="24"/>
          <w:szCs w:val="24"/>
        </w:rPr>
        <w:t xml:space="preserve">D.  </w:t>
      </w:r>
      <w:r w:rsidRPr="00CF4E45">
        <w:rPr>
          <w:rFonts w:ascii="Times New Roman" w:hAnsi="Times New Roman"/>
          <w:sz w:val="24"/>
          <w:szCs w:val="24"/>
        </w:rPr>
        <w:t xml:space="preserve">Finally, it is noted that </w:t>
      </w:r>
      <w:r w:rsidR="005C4AFB" w:rsidRPr="00CF4E45">
        <w:rPr>
          <w:rFonts w:ascii="Times New Roman" w:hAnsi="Times New Roman"/>
          <w:sz w:val="24"/>
          <w:szCs w:val="24"/>
        </w:rPr>
        <w:t>t</w:t>
      </w:r>
      <w:r w:rsidR="00FF65E9" w:rsidRPr="00CF4E45">
        <w:rPr>
          <w:rFonts w:ascii="Times New Roman" w:hAnsi="Times New Roman"/>
          <w:sz w:val="24"/>
          <w:szCs w:val="24"/>
        </w:rPr>
        <w:t xml:space="preserve">he subpoena </w:t>
      </w:r>
      <w:r w:rsidR="005C4AFB" w:rsidRPr="00CF4E45">
        <w:rPr>
          <w:rFonts w:ascii="Times New Roman" w:hAnsi="Times New Roman"/>
          <w:sz w:val="24"/>
          <w:szCs w:val="24"/>
        </w:rPr>
        <w:t>in question</w:t>
      </w:r>
      <w:r w:rsidR="00FF65E9" w:rsidRPr="00CF4E45">
        <w:rPr>
          <w:rFonts w:ascii="Times New Roman" w:hAnsi="Times New Roman"/>
          <w:sz w:val="24"/>
          <w:szCs w:val="24"/>
        </w:rPr>
        <w:t xml:space="preserve"> wa</w:t>
      </w:r>
      <w:r w:rsidR="00C96596">
        <w:rPr>
          <w:rFonts w:ascii="Times New Roman" w:hAnsi="Times New Roman"/>
          <w:sz w:val="24"/>
          <w:szCs w:val="24"/>
        </w:rPr>
        <w:t xml:space="preserve">s </w:t>
      </w:r>
      <w:r w:rsidR="00FF65E9" w:rsidRPr="00CF4E45">
        <w:rPr>
          <w:rFonts w:ascii="Times New Roman" w:hAnsi="Times New Roman"/>
          <w:sz w:val="24"/>
          <w:szCs w:val="24"/>
        </w:rPr>
        <w:t xml:space="preserve">served upon the Division </w:t>
      </w:r>
      <w:r w:rsidR="00174287">
        <w:rPr>
          <w:rFonts w:ascii="Times New Roman" w:hAnsi="Times New Roman"/>
          <w:sz w:val="24"/>
          <w:szCs w:val="24"/>
        </w:rPr>
        <w:t xml:space="preserve">two weeks after the </w:t>
      </w:r>
      <w:r w:rsidR="00FF65E9" w:rsidRPr="00CF4E45">
        <w:rPr>
          <w:rFonts w:ascii="Times New Roman" w:hAnsi="Times New Roman"/>
          <w:sz w:val="24"/>
          <w:szCs w:val="24"/>
        </w:rPr>
        <w:t>March 5, 2020 hearing in this matter.</w:t>
      </w:r>
      <w:r w:rsidR="005F5B60">
        <w:rPr>
          <w:rFonts w:ascii="Times New Roman" w:hAnsi="Times New Roman"/>
          <w:sz w:val="24"/>
          <w:szCs w:val="24"/>
        </w:rPr>
        <w:t xml:space="preserve">  </w:t>
      </w:r>
      <w:r w:rsidR="0077258D" w:rsidRPr="00CF4E45">
        <w:rPr>
          <w:rFonts w:ascii="Times New Roman" w:hAnsi="Times New Roman"/>
          <w:sz w:val="24"/>
          <w:szCs w:val="24"/>
        </w:rPr>
        <w:t>The hearing record was</w:t>
      </w:r>
      <w:r w:rsidRPr="00CF4E45">
        <w:rPr>
          <w:rFonts w:ascii="Times New Roman" w:hAnsi="Times New Roman"/>
          <w:sz w:val="24"/>
          <w:szCs w:val="24"/>
        </w:rPr>
        <w:t xml:space="preserve"> only</w:t>
      </w:r>
      <w:r w:rsidR="0077258D" w:rsidRPr="00CF4E45">
        <w:rPr>
          <w:rFonts w:ascii="Times New Roman" w:hAnsi="Times New Roman"/>
          <w:sz w:val="24"/>
          <w:szCs w:val="24"/>
        </w:rPr>
        <w:t xml:space="preserve"> left open for </w:t>
      </w:r>
      <w:r w:rsidR="0077258D" w:rsidRPr="00CF4E45">
        <w:rPr>
          <w:rFonts w:ascii="Times New Roman" w:hAnsi="Times New Roman"/>
          <w:sz w:val="24"/>
          <w:szCs w:val="24"/>
        </w:rPr>
        <w:lastRenderedPageBreak/>
        <w:t>petitioners to submit specific documents.</w:t>
      </w:r>
      <w:r w:rsidR="00FF65E9" w:rsidRPr="00CF4E45">
        <w:rPr>
          <w:rFonts w:ascii="Times New Roman" w:hAnsi="Times New Roman"/>
          <w:sz w:val="24"/>
          <w:szCs w:val="24"/>
        </w:rPr>
        <w:t xml:space="preserve">  </w:t>
      </w:r>
      <w:r w:rsidR="0077258D" w:rsidRPr="00CF4E45">
        <w:rPr>
          <w:rFonts w:ascii="Times New Roman" w:hAnsi="Times New Roman"/>
          <w:sz w:val="24"/>
          <w:szCs w:val="24"/>
        </w:rPr>
        <w:t>Other than those specific documents, t</w:t>
      </w:r>
      <w:r w:rsidR="00FF65E9" w:rsidRPr="00CF4E45">
        <w:rPr>
          <w:rFonts w:ascii="Times New Roman" w:hAnsi="Times New Roman"/>
          <w:sz w:val="24"/>
          <w:szCs w:val="24"/>
        </w:rPr>
        <w:t>he hearing record was closed.  The hearing record was not left open for documents that petitioners had yet to subpoena</w:t>
      </w:r>
      <w:r w:rsidR="007D2C25" w:rsidRPr="00CF4E45">
        <w:rPr>
          <w:rFonts w:ascii="Times New Roman" w:hAnsi="Times New Roman"/>
          <w:sz w:val="24"/>
          <w:szCs w:val="24"/>
        </w:rPr>
        <w:t>.</w:t>
      </w:r>
      <w:r w:rsidR="00C96596">
        <w:rPr>
          <w:rFonts w:ascii="Times New Roman" w:hAnsi="Times New Roman"/>
          <w:sz w:val="24"/>
          <w:szCs w:val="24"/>
        </w:rPr>
        <w:t xml:space="preserve">  Accordingly, assuming the Division of Tax Appeals had jurisdiction to rule on the Division’s motion to modify or quash an attorney issued subpoena, the subpoena would be quashed.</w:t>
      </w:r>
    </w:p>
    <w:p w14:paraId="57D8FD13" w14:textId="1E83FB7A" w:rsidR="0024434E" w:rsidRPr="00CF4E45" w:rsidRDefault="0024434E" w:rsidP="00EB4964">
      <w:pPr>
        <w:tabs>
          <w:tab w:val="left" w:pos="600"/>
          <w:tab w:val="left" w:pos="2760"/>
          <w:tab w:val="left" w:pos="4680"/>
          <w:tab w:val="left" w:pos="5760"/>
          <w:tab w:val="left" w:pos="720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ab/>
        <w:t>E.  Based upon the foregoing, the Division’s motion is d</w:t>
      </w:r>
      <w:r w:rsidR="00BC0E10">
        <w:rPr>
          <w:rFonts w:ascii="Times New Roman" w:hAnsi="Times New Roman"/>
          <w:sz w:val="24"/>
          <w:szCs w:val="24"/>
        </w:rPr>
        <w:t>enied</w:t>
      </w:r>
    </w:p>
    <w:p w14:paraId="3A04B7EA" w14:textId="77777777" w:rsidR="00D23A17" w:rsidRPr="00CF4E45" w:rsidRDefault="00D23A17" w:rsidP="00E2670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>DATED: Albany, New York</w:t>
      </w:r>
    </w:p>
    <w:p w14:paraId="62106B3D" w14:textId="2038F948" w:rsidR="00D23A17" w:rsidRPr="00CF4E45" w:rsidRDefault="00E26703" w:rsidP="00E2670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September 3, 2020</w:t>
      </w:r>
    </w:p>
    <w:p w14:paraId="022C4095" w14:textId="41A8B57C" w:rsidR="006478CF" w:rsidRDefault="00D23A17" w:rsidP="00F63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32"/>
          <w:sz w:val="24"/>
          <w:szCs w:val="24"/>
          <w:u w:val="single"/>
        </w:rPr>
      </w:pPr>
      <w:r w:rsidRPr="00CF4E45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F4E45">
        <w:rPr>
          <w:rFonts w:ascii="Times New Roman" w:hAnsi="Times New Roman"/>
          <w:sz w:val="24"/>
          <w:szCs w:val="24"/>
        </w:rPr>
        <w:tab/>
      </w:r>
      <w:r w:rsidRPr="00CF4E45">
        <w:rPr>
          <w:rFonts w:ascii="Times New Roman" w:hAnsi="Times New Roman"/>
          <w:sz w:val="24"/>
          <w:szCs w:val="24"/>
        </w:rPr>
        <w:tab/>
      </w:r>
      <w:r w:rsidRPr="00CF4E45">
        <w:rPr>
          <w:rFonts w:ascii="Times New Roman" w:hAnsi="Times New Roman"/>
          <w:sz w:val="24"/>
          <w:szCs w:val="24"/>
        </w:rPr>
        <w:tab/>
      </w:r>
      <w:r w:rsidRPr="00E7089C">
        <w:rPr>
          <w:rFonts w:ascii="Times New Roman" w:hAnsi="Times New Roman"/>
          <w:spacing w:val="32"/>
          <w:sz w:val="24"/>
          <w:szCs w:val="24"/>
        </w:rPr>
        <w:t xml:space="preserve">          </w:t>
      </w:r>
      <w:r w:rsidR="00E26703" w:rsidRPr="00E7089C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478CF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478CF">
        <w:rPr>
          <w:rFonts w:ascii="Times New Roman" w:hAnsi="Times New Roman"/>
          <w:spacing w:val="32"/>
          <w:sz w:val="24"/>
          <w:szCs w:val="24"/>
          <w:u w:val="single"/>
        </w:rPr>
        <w:t>/s/   Kevin R. Law               .</w:t>
      </w:r>
    </w:p>
    <w:p w14:paraId="365E7690" w14:textId="50B9A032" w:rsidR="004977CD" w:rsidRPr="00CF4E45" w:rsidRDefault="00D23A17" w:rsidP="00F630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4E45">
        <w:rPr>
          <w:rFonts w:ascii="Times New Roman" w:hAnsi="Times New Roman"/>
          <w:sz w:val="24"/>
          <w:szCs w:val="24"/>
        </w:rPr>
        <w:tab/>
      </w:r>
      <w:r w:rsidRPr="00CF4E45">
        <w:rPr>
          <w:rFonts w:ascii="Times New Roman" w:hAnsi="Times New Roman"/>
          <w:sz w:val="24"/>
          <w:szCs w:val="24"/>
        </w:rPr>
        <w:tab/>
      </w:r>
      <w:r w:rsidRPr="00CF4E45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 w:rsidR="00E7089C">
        <w:rPr>
          <w:rFonts w:ascii="Times New Roman" w:hAnsi="Times New Roman"/>
          <w:sz w:val="24"/>
          <w:szCs w:val="24"/>
        </w:rPr>
        <w:t xml:space="preserve">       </w:t>
      </w:r>
      <w:r w:rsidRPr="00CF4E45">
        <w:rPr>
          <w:rFonts w:ascii="Times New Roman" w:hAnsi="Times New Roman"/>
          <w:sz w:val="24"/>
          <w:szCs w:val="24"/>
        </w:rPr>
        <w:t>ADMINISTRATIVE LAW JUDGE</w:t>
      </w:r>
    </w:p>
    <w:sectPr w:rsidR="004977CD" w:rsidRPr="00CF4E45" w:rsidSect="0085258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B8B56" w14:textId="77777777" w:rsidR="003A5B8F" w:rsidRDefault="003A5B8F" w:rsidP="00AE55B4">
      <w:pPr>
        <w:spacing w:after="0" w:line="240" w:lineRule="auto"/>
      </w:pPr>
      <w:r>
        <w:separator/>
      </w:r>
    </w:p>
  </w:endnote>
  <w:endnote w:type="continuationSeparator" w:id="0">
    <w:p w14:paraId="4453146F" w14:textId="77777777" w:rsidR="003A5B8F" w:rsidRDefault="003A5B8F" w:rsidP="00A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566D" w14:textId="77777777" w:rsidR="003A5B8F" w:rsidRDefault="003A5B8F" w:rsidP="00AE55B4">
      <w:pPr>
        <w:spacing w:after="0" w:line="240" w:lineRule="auto"/>
      </w:pPr>
      <w:r>
        <w:separator/>
      </w:r>
    </w:p>
  </w:footnote>
  <w:footnote w:type="continuationSeparator" w:id="0">
    <w:p w14:paraId="05C05590" w14:textId="77777777" w:rsidR="003A5B8F" w:rsidRDefault="003A5B8F" w:rsidP="00A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8DA" w14:textId="2270B21B" w:rsidR="00682DFE" w:rsidRPr="0085258C" w:rsidRDefault="00FB10B5" w:rsidP="0085258C"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-</w:t>
    </w:r>
    <w:r w:rsidR="006561A7" w:rsidRPr="00AE55B4">
      <w:rPr>
        <w:rFonts w:ascii="Times New Roman" w:hAnsi="Times New Roman"/>
        <w:sz w:val="20"/>
        <w:szCs w:val="20"/>
      </w:rPr>
      <w:fldChar w:fldCharType="begin"/>
    </w:r>
    <w:r w:rsidR="006561A7" w:rsidRPr="00AE55B4">
      <w:rPr>
        <w:rFonts w:ascii="Times New Roman" w:hAnsi="Times New Roman"/>
        <w:sz w:val="20"/>
        <w:szCs w:val="20"/>
      </w:rPr>
      <w:instrText xml:space="preserve"> PAGE   \* MERGEFORMAT </w:instrText>
    </w:r>
    <w:r w:rsidR="006561A7" w:rsidRPr="00AE55B4">
      <w:rPr>
        <w:rFonts w:ascii="Times New Roman" w:hAnsi="Times New Roman"/>
        <w:sz w:val="20"/>
        <w:szCs w:val="20"/>
      </w:rPr>
      <w:fldChar w:fldCharType="separate"/>
    </w:r>
    <w:r w:rsidR="006561A7" w:rsidRPr="00AE55B4">
      <w:rPr>
        <w:rFonts w:ascii="Times New Roman" w:hAnsi="Times New Roman"/>
        <w:noProof/>
        <w:sz w:val="20"/>
        <w:szCs w:val="20"/>
      </w:rPr>
      <w:t>1</w:t>
    </w:r>
    <w:r w:rsidR="006561A7" w:rsidRPr="00AE55B4">
      <w:rPr>
        <w:rFonts w:ascii="Times New Roman" w:hAnsi="Times New Roman"/>
        <w:noProof/>
        <w:sz w:val="20"/>
        <w:szCs w:val="20"/>
      </w:rPr>
      <w:fldChar w:fldCharType="end"/>
    </w:r>
    <w:r w:rsidR="00232E5B">
      <w:rPr>
        <w:rFonts w:ascii="Times New Roman" w:hAnsi="Times New Roman"/>
        <w:noProof/>
        <w:sz w:val="20"/>
        <w:szCs w:val="20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5C67"/>
    <w:multiLevelType w:val="hybridMultilevel"/>
    <w:tmpl w:val="65282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91735"/>
    <w:multiLevelType w:val="hybridMultilevel"/>
    <w:tmpl w:val="14544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C93"/>
    <w:multiLevelType w:val="hybridMultilevel"/>
    <w:tmpl w:val="B11E7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4630"/>
    <w:multiLevelType w:val="hybridMultilevel"/>
    <w:tmpl w:val="7E20FA10"/>
    <w:lvl w:ilvl="0" w:tplc="0FF6A3FA">
      <w:start w:val="1"/>
      <w:numFmt w:val="decimal"/>
      <w:suff w:val="nothing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D86F86"/>
    <w:multiLevelType w:val="hybridMultilevel"/>
    <w:tmpl w:val="68B8CF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60DC0"/>
    <w:multiLevelType w:val="hybridMultilevel"/>
    <w:tmpl w:val="3E38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54EE"/>
    <w:multiLevelType w:val="hybridMultilevel"/>
    <w:tmpl w:val="1264C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0CCC"/>
    <w:multiLevelType w:val="hybridMultilevel"/>
    <w:tmpl w:val="C624F3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A160CF"/>
    <w:multiLevelType w:val="hybridMultilevel"/>
    <w:tmpl w:val="720A5CE0"/>
    <w:lvl w:ilvl="0" w:tplc="2BA4877C">
      <w:start w:val="1"/>
      <w:numFmt w:val="decimal"/>
      <w:suff w:val="nothing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5730A"/>
    <w:multiLevelType w:val="hybridMultilevel"/>
    <w:tmpl w:val="727EDA28"/>
    <w:lvl w:ilvl="0" w:tplc="43D265A8">
      <w:start w:val="1"/>
      <w:numFmt w:val="upperLetter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8F"/>
    <w:rsid w:val="0000089B"/>
    <w:rsid w:val="00000E6B"/>
    <w:rsid w:val="000045DB"/>
    <w:rsid w:val="00011E69"/>
    <w:rsid w:val="00013197"/>
    <w:rsid w:val="000247B9"/>
    <w:rsid w:val="00046E7D"/>
    <w:rsid w:val="000542A4"/>
    <w:rsid w:val="000570D2"/>
    <w:rsid w:val="00080A4E"/>
    <w:rsid w:val="00080F3C"/>
    <w:rsid w:val="000815F8"/>
    <w:rsid w:val="0008227A"/>
    <w:rsid w:val="00097158"/>
    <w:rsid w:val="00097195"/>
    <w:rsid w:val="000B58B9"/>
    <w:rsid w:val="000C03EC"/>
    <w:rsid w:val="000C1C13"/>
    <w:rsid w:val="000C38F8"/>
    <w:rsid w:val="000C45B7"/>
    <w:rsid w:val="000C52C7"/>
    <w:rsid w:val="000E0935"/>
    <w:rsid w:val="000F179C"/>
    <w:rsid w:val="000F1C1D"/>
    <w:rsid w:val="00107A5F"/>
    <w:rsid w:val="00111168"/>
    <w:rsid w:val="001165C6"/>
    <w:rsid w:val="0012201C"/>
    <w:rsid w:val="00130ACF"/>
    <w:rsid w:val="00131D70"/>
    <w:rsid w:val="0013226B"/>
    <w:rsid w:val="001640DA"/>
    <w:rsid w:val="00165F77"/>
    <w:rsid w:val="00174287"/>
    <w:rsid w:val="00190AC7"/>
    <w:rsid w:val="00194599"/>
    <w:rsid w:val="00196B7F"/>
    <w:rsid w:val="0019787F"/>
    <w:rsid w:val="00197C61"/>
    <w:rsid w:val="001A7B5B"/>
    <w:rsid w:val="001B18B5"/>
    <w:rsid w:val="001C16EA"/>
    <w:rsid w:val="001D0370"/>
    <w:rsid w:val="001D6BD3"/>
    <w:rsid w:val="001E2F05"/>
    <w:rsid w:val="001F71EE"/>
    <w:rsid w:val="00200B9B"/>
    <w:rsid w:val="00213300"/>
    <w:rsid w:val="00215C9D"/>
    <w:rsid w:val="002213F0"/>
    <w:rsid w:val="00232E5B"/>
    <w:rsid w:val="0023314B"/>
    <w:rsid w:val="0024434E"/>
    <w:rsid w:val="00247890"/>
    <w:rsid w:val="002559BA"/>
    <w:rsid w:val="00261620"/>
    <w:rsid w:val="002625A2"/>
    <w:rsid w:val="00277BFF"/>
    <w:rsid w:val="002814DC"/>
    <w:rsid w:val="00294BF3"/>
    <w:rsid w:val="00295C12"/>
    <w:rsid w:val="00296807"/>
    <w:rsid w:val="002A10A8"/>
    <w:rsid w:val="002A1C02"/>
    <w:rsid w:val="002B6E6D"/>
    <w:rsid w:val="002C0C55"/>
    <w:rsid w:val="002C0FED"/>
    <w:rsid w:val="002C4CC5"/>
    <w:rsid w:val="002D7429"/>
    <w:rsid w:val="002E32F6"/>
    <w:rsid w:val="002E3D72"/>
    <w:rsid w:val="00304A30"/>
    <w:rsid w:val="003057E3"/>
    <w:rsid w:val="003059BC"/>
    <w:rsid w:val="00334148"/>
    <w:rsid w:val="00337026"/>
    <w:rsid w:val="0034458E"/>
    <w:rsid w:val="00355748"/>
    <w:rsid w:val="00363F41"/>
    <w:rsid w:val="00370BDF"/>
    <w:rsid w:val="003776E4"/>
    <w:rsid w:val="0038187A"/>
    <w:rsid w:val="003866FD"/>
    <w:rsid w:val="00386DA2"/>
    <w:rsid w:val="00392F0E"/>
    <w:rsid w:val="003A5B8F"/>
    <w:rsid w:val="003A7404"/>
    <w:rsid w:val="003B567E"/>
    <w:rsid w:val="003B5C55"/>
    <w:rsid w:val="003C600F"/>
    <w:rsid w:val="003D5F59"/>
    <w:rsid w:val="003F2CC1"/>
    <w:rsid w:val="003F7B66"/>
    <w:rsid w:val="00403714"/>
    <w:rsid w:val="004041D9"/>
    <w:rsid w:val="00404B15"/>
    <w:rsid w:val="00405337"/>
    <w:rsid w:val="00407044"/>
    <w:rsid w:val="00417161"/>
    <w:rsid w:val="00421CD9"/>
    <w:rsid w:val="00430A03"/>
    <w:rsid w:val="00430FD2"/>
    <w:rsid w:val="0043482C"/>
    <w:rsid w:val="0044487D"/>
    <w:rsid w:val="00446FAC"/>
    <w:rsid w:val="00453B51"/>
    <w:rsid w:val="00453D56"/>
    <w:rsid w:val="0045737F"/>
    <w:rsid w:val="00461C79"/>
    <w:rsid w:val="004707DD"/>
    <w:rsid w:val="004717F6"/>
    <w:rsid w:val="004904A6"/>
    <w:rsid w:val="004945D9"/>
    <w:rsid w:val="0049678F"/>
    <w:rsid w:val="004977CD"/>
    <w:rsid w:val="004A5023"/>
    <w:rsid w:val="004B21DE"/>
    <w:rsid w:val="004C676F"/>
    <w:rsid w:val="004C77B0"/>
    <w:rsid w:val="004E72FC"/>
    <w:rsid w:val="004E77C8"/>
    <w:rsid w:val="004F66F8"/>
    <w:rsid w:val="00500685"/>
    <w:rsid w:val="00502C66"/>
    <w:rsid w:val="005062C1"/>
    <w:rsid w:val="00506D23"/>
    <w:rsid w:val="00507F60"/>
    <w:rsid w:val="005153BA"/>
    <w:rsid w:val="005243AD"/>
    <w:rsid w:val="005451CF"/>
    <w:rsid w:val="00550E23"/>
    <w:rsid w:val="00553896"/>
    <w:rsid w:val="00556A25"/>
    <w:rsid w:val="00561E29"/>
    <w:rsid w:val="005667B8"/>
    <w:rsid w:val="00574506"/>
    <w:rsid w:val="00580078"/>
    <w:rsid w:val="005829E3"/>
    <w:rsid w:val="00593CC8"/>
    <w:rsid w:val="00596A51"/>
    <w:rsid w:val="005977AC"/>
    <w:rsid w:val="005A75BD"/>
    <w:rsid w:val="005B70B0"/>
    <w:rsid w:val="005C1066"/>
    <w:rsid w:val="005C363B"/>
    <w:rsid w:val="005C4AFB"/>
    <w:rsid w:val="005C6AE2"/>
    <w:rsid w:val="005D4149"/>
    <w:rsid w:val="005D4345"/>
    <w:rsid w:val="005D66BE"/>
    <w:rsid w:val="005D7727"/>
    <w:rsid w:val="005E32C2"/>
    <w:rsid w:val="005E675E"/>
    <w:rsid w:val="005F1E04"/>
    <w:rsid w:val="005F3055"/>
    <w:rsid w:val="005F5B60"/>
    <w:rsid w:val="00600A48"/>
    <w:rsid w:val="00610C6A"/>
    <w:rsid w:val="006125A1"/>
    <w:rsid w:val="0062603F"/>
    <w:rsid w:val="0063492D"/>
    <w:rsid w:val="00635A66"/>
    <w:rsid w:val="00645096"/>
    <w:rsid w:val="00645662"/>
    <w:rsid w:val="006478CF"/>
    <w:rsid w:val="006503B1"/>
    <w:rsid w:val="006527B4"/>
    <w:rsid w:val="006542ED"/>
    <w:rsid w:val="00654D4C"/>
    <w:rsid w:val="00655B01"/>
    <w:rsid w:val="006561A7"/>
    <w:rsid w:val="006568D3"/>
    <w:rsid w:val="0066157C"/>
    <w:rsid w:val="00662E44"/>
    <w:rsid w:val="00672855"/>
    <w:rsid w:val="006825DA"/>
    <w:rsid w:val="00682DFE"/>
    <w:rsid w:val="00685BEA"/>
    <w:rsid w:val="006A3B57"/>
    <w:rsid w:val="006B2668"/>
    <w:rsid w:val="006B3981"/>
    <w:rsid w:val="006C2466"/>
    <w:rsid w:val="006E2ACB"/>
    <w:rsid w:val="006F2931"/>
    <w:rsid w:val="006F532E"/>
    <w:rsid w:val="00707553"/>
    <w:rsid w:val="00720C12"/>
    <w:rsid w:val="00725AAF"/>
    <w:rsid w:val="007301D6"/>
    <w:rsid w:val="007426E9"/>
    <w:rsid w:val="00745D12"/>
    <w:rsid w:val="00747C5B"/>
    <w:rsid w:val="007533C2"/>
    <w:rsid w:val="00754DCD"/>
    <w:rsid w:val="00765CFE"/>
    <w:rsid w:val="007662A2"/>
    <w:rsid w:val="0077258D"/>
    <w:rsid w:val="00776E6B"/>
    <w:rsid w:val="0078002C"/>
    <w:rsid w:val="00786ACD"/>
    <w:rsid w:val="0079061B"/>
    <w:rsid w:val="007924BC"/>
    <w:rsid w:val="007948F6"/>
    <w:rsid w:val="00795298"/>
    <w:rsid w:val="007A5D0C"/>
    <w:rsid w:val="007B6E7F"/>
    <w:rsid w:val="007C03E2"/>
    <w:rsid w:val="007D0739"/>
    <w:rsid w:val="007D2C25"/>
    <w:rsid w:val="007E0B59"/>
    <w:rsid w:val="007E45EF"/>
    <w:rsid w:val="007E47C9"/>
    <w:rsid w:val="007F12A9"/>
    <w:rsid w:val="007F2184"/>
    <w:rsid w:val="007F5BA6"/>
    <w:rsid w:val="007F5C8B"/>
    <w:rsid w:val="007F7194"/>
    <w:rsid w:val="008335E5"/>
    <w:rsid w:val="00836F4C"/>
    <w:rsid w:val="00842BBB"/>
    <w:rsid w:val="0085258C"/>
    <w:rsid w:val="00857198"/>
    <w:rsid w:val="00857477"/>
    <w:rsid w:val="00877464"/>
    <w:rsid w:val="00877F58"/>
    <w:rsid w:val="00883565"/>
    <w:rsid w:val="00886287"/>
    <w:rsid w:val="008911FA"/>
    <w:rsid w:val="00894419"/>
    <w:rsid w:val="008B597D"/>
    <w:rsid w:val="008D137A"/>
    <w:rsid w:val="008D30FA"/>
    <w:rsid w:val="008E1FAE"/>
    <w:rsid w:val="008F19B6"/>
    <w:rsid w:val="008F20C2"/>
    <w:rsid w:val="008F4605"/>
    <w:rsid w:val="008F6B7F"/>
    <w:rsid w:val="0090744B"/>
    <w:rsid w:val="00910BCD"/>
    <w:rsid w:val="00923D5E"/>
    <w:rsid w:val="00924EBE"/>
    <w:rsid w:val="009324CA"/>
    <w:rsid w:val="00950CA2"/>
    <w:rsid w:val="009524CE"/>
    <w:rsid w:val="009565CC"/>
    <w:rsid w:val="00973006"/>
    <w:rsid w:val="009750A7"/>
    <w:rsid w:val="00976EB5"/>
    <w:rsid w:val="00983906"/>
    <w:rsid w:val="00986EBC"/>
    <w:rsid w:val="00995798"/>
    <w:rsid w:val="009B6349"/>
    <w:rsid w:val="009C0112"/>
    <w:rsid w:val="009C15A9"/>
    <w:rsid w:val="009C3CE8"/>
    <w:rsid w:val="009C6D11"/>
    <w:rsid w:val="009D4DDB"/>
    <w:rsid w:val="009F5605"/>
    <w:rsid w:val="00A00C6A"/>
    <w:rsid w:val="00A010F3"/>
    <w:rsid w:val="00A01F4C"/>
    <w:rsid w:val="00A04767"/>
    <w:rsid w:val="00A07983"/>
    <w:rsid w:val="00A1684E"/>
    <w:rsid w:val="00A33B23"/>
    <w:rsid w:val="00A4390D"/>
    <w:rsid w:val="00A44DC2"/>
    <w:rsid w:val="00A5760D"/>
    <w:rsid w:val="00A74FB8"/>
    <w:rsid w:val="00A7506F"/>
    <w:rsid w:val="00A76CB4"/>
    <w:rsid w:val="00A856A7"/>
    <w:rsid w:val="00A92050"/>
    <w:rsid w:val="00A9578E"/>
    <w:rsid w:val="00A9623E"/>
    <w:rsid w:val="00AA18FB"/>
    <w:rsid w:val="00AB248E"/>
    <w:rsid w:val="00AB2EF9"/>
    <w:rsid w:val="00AC436C"/>
    <w:rsid w:val="00AC7D39"/>
    <w:rsid w:val="00AC7EA6"/>
    <w:rsid w:val="00AD629F"/>
    <w:rsid w:val="00AE0779"/>
    <w:rsid w:val="00AE208E"/>
    <w:rsid w:val="00AE55B4"/>
    <w:rsid w:val="00AE5B7C"/>
    <w:rsid w:val="00AF0E0F"/>
    <w:rsid w:val="00AF14E5"/>
    <w:rsid w:val="00B044B3"/>
    <w:rsid w:val="00B04AA2"/>
    <w:rsid w:val="00B06B3C"/>
    <w:rsid w:val="00B16ADF"/>
    <w:rsid w:val="00B221DC"/>
    <w:rsid w:val="00B24D29"/>
    <w:rsid w:val="00B271C7"/>
    <w:rsid w:val="00B46CF3"/>
    <w:rsid w:val="00B532A2"/>
    <w:rsid w:val="00B55B20"/>
    <w:rsid w:val="00B63C22"/>
    <w:rsid w:val="00B73F6E"/>
    <w:rsid w:val="00B754E4"/>
    <w:rsid w:val="00B8031E"/>
    <w:rsid w:val="00B80E25"/>
    <w:rsid w:val="00B961B2"/>
    <w:rsid w:val="00B977F6"/>
    <w:rsid w:val="00BB1EF6"/>
    <w:rsid w:val="00BB4D5F"/>
    <w:rsid w:val="00BC0E10"/>
    <w:rsid w:val="00BC7203"/>
    <w:rsid w:val="00BD3591"/>
    <w:rsid w:val="00BD430A"/>
    <w:rsid w:val="00BD43DF"/>
    <w:rsid w:val="00BE086D"/>
    <w:rsid w:val="00BE7320"/>
    <w:rsid w:val="00BF0D3E"/>
    <w:rsid w:val="00C022E5"/>
    <w:rsid w:val="00C02D63"/>
    <w:rsid w:val="00C03879"/>
    <w:rsid w:val="00C03A38"/>
    <w:rsid w:val="00C07021"/>
    <w:rsid w:val="00C0763A"/>
    <w:rsid w:val="00C12B75"/>
    <w:rsid w:val="00C12FE4"/>
    <w:rsid w:val="00C17481"/>
    <w:rsid w:val="00C20975"/>
    <w:rsid w:val="00C2620C"/>
    <w:rsid w:val="00C27803"/>
    <w:rsid w:val="00C27D12"/>
    <w:rsid w:val="00C4099C"/>
    <w:rsid w:val="00C46D73"/>
    <w:rsid w:val="00C51267"/>
    <w:rsid w:val="00C514F5"/>
    <w:rsid w:val="00C51877"/>
    <w:rsid w:val="00C55ED6"/>
    <w:rsid w:val="00C64865"/>
    <w:rsid w:val="00C73871"/>
    <w:rsid w:val="00C80756"/>
    <w:rsid w:val="00C809A1"/>
    <w:rsid w:val="00C82310"/>
    <w:rsid w:val="00C849B7"/>
    <w:rsid w:val="00C96596"/>
    <w:rsid w:val="00CA2A77"/>
    <w:rsid w:val="00CC141E"/>
    <w:rsid w:val="00CC419D"/>
    <w:rsid w:val="00CD1462"/>
    <w:rsid w:val="00CD7958"/>
    <w:rsid w:val="00CD796B"/>
    <w:rsid w:val="00CE22FC"/>
    <w:rsid w:val="00CF4E45"/>
    <w:rsid w:val="00D13D05"/>
    <w:rsid w:val="00D23A17"/>
    <w:rsid w:val="00D35036"/>
    <w:rsid w:val="00D46EB0"/>
    <w:rsid w:val="00D47C4C"/>
    <w:rsid w:val="00D6507D"/>
    <w:rsid w:val="00D658BB"/>
    <w:rsid w:val="00D7058F"/>
    <w:rsid w:val="00D861C2"/>
    <w:rsid w:val="00D967F0"/>
    <w:rsid w:val="00DA1C3D"/>
    <w:rsid w:val="00DA1E87"/>
    <w:rsid w:val="00DB599F"/>
    <w:rsid w:val="00DC1EDB"/>
    <w:rsid w:val="00DC395A"/>
    <w:rsid w:val="00DC46A4"/>
    <w:rsid w:val="00DD1EC9"/>
    <w:rsid w:val="00DD6D16"/>
    <w:rsid w:val="00DD712A"/>
    <w:rsid w:val="00DE14F2"/>
    <w:rsid w:val="00E01DB8"/>
    <w:rsid w:val="00E07581"/>
    <w:rsid w:val="00E0768D"/>
    <w:rsid w:val="00E10C01"/>
    <w:rsid w:val="00E11161"/>
    <w:rsid w:val="00E2590C"/>
    <w:rsid w:val="00E26703"/>
    <w:rsid w:val="00E26B65"/>
    <w:rsid w:val="00E34FBD"/>
    <w:rsid w:val="00E43660"/>
    <w:rsid w:val="00E44C53"/>
    <w:rsid w:val="00E4611F"/>
    <w:rsid w:val="00E52117"/>
    <w:rsid w:val="00E530BF"/>
    <w:rsid w:val="00E65F11"/>
    <w:rsid w:val="00E7089C"/>
    <w:rsid w:val="00E72C01"/>
    <w:rsid w:val="00E760D2"/>
    <w:rsid w:val="00E91AA3"/>
    <w:rsid w:val="00E962E3"/>
    <w:rsid w:val="00E97EBC"/>
    <w:rsid w:val="00EB4964"/>
    <w:rsid w:val="00EC5F96"/>
    <w:rsid w:val="00ED04A7"/>
    <w:rsid w:val="00ED600F"/>
    <w:rsid w:val="00ED6A96"/>
    <w:rsid w:val="00EF1C2B"/>
    <w:rsid w:val="00F15D54"/>
    <w:rsid w:val="00F204FE"/>
    <w:rsid w:val="00F21A4D"/>
    <w:rsid w:val="00F3609A"/>
    <w:rsid w:val="00F43688"/>
    <w:rsid w:val="00F62B83"/>
    <w:rsid w:val="00F630AD"/>
    <w:rsid w:val="00F73981"/>
    <w:rsid w:val="00F96741"/>
    <w:rsid w:val="00FB10B5"/>
    <w:rsid w:val="00FB497B"/>
    <w:rsid w:val="00FB51E7"/>
    <w:rsid w:val="00FC17F2"/>
    <w:rsid w:val="00FC32F8"/>
    <w:rsid w:val="00FC3805"/>
    <w:rsid w:val="00FC659A"/>
    <w:rsid w:val="00FC731A"/>
    <w:rsid w:val="00FD280B"/>
    <w:rsid w:val="00FE1EA0"/>
    <w:rsid w:val="00FE4644"/>
    <w:rsid w:val="00FE787C"/>
    <w:rsid w:val="00FF0C3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43A115D"/>
  <w15:chartTrackingRefBased/>
  <w15:docId w15:val="{A35A2627-C41C-447B-93D7-A81416C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5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55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55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55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507D"/>
    <w:pPr>
      <w:ind w:left="720"/>
      <w:contextualSpacing/>
    </w:pPr>
  </w:style>
  <w:style w:type="character" w:styleId="FootnoteReference">
    <w:name w:val="footnote reference"/>
    <w:uiPriority w:val="99"/>
    <w:rsid w:val="00FC659A"/>
  </w:style>
  <w:style w:type="paragraph" w:styleId="FootnoteText">
    <w:name w:val="footnote text"/>
    <w:basedOn w:val="Normal"/>
    <w:link w:val="FootnoteTextChar"/>
    <w:uiPriority w:val="99"/>
    <w:semiHidden/>
    <w:unhideWhenUsed/>
    <w:rsid w:val="00FC6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59A"/>
    <w:rPr>
      <w:rFonts w:ascii="Times New Roman" w:eastAsiaTheme="minorEastAsia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0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D3E"/>
  </w:style>
  <w:style w:type="character" w:styleId="Hyperlink">
    <w:name w:val="Hyperlink"/>
    <w:basedOn w:val="DefaultParagraphFont"/>
    <w:uiPriority w:val="99"/>
    <w:semiHidden/>
    <w:unhideWhenUsed/>
    <w:rsid w:val="008F20C2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8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422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03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61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7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F93B-AC93-4B41-A143-35AD78BA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Taylor</dc:creator>
  <cp:keywords/>
  <dc:description/>
  <cp:lastModifiedBy>Barbara</cp:lastModifiedBy>
  <cp:revision>18</cp:revision>
  <cp:lastPrinted>2020-08-31T01:40:00Z</cp:lastPrinted>
  <dcterms:created xsi:type="dcterms:W3CDTF">2020-08-24T14:48:00Z</dcterms:created>
  <dcterms:modified xsi:type="dcterms:W3CDTF">2020-09-03T13:37:00Z</dcterms:modified>
</cp:coreProperties>
</file>