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ook w:val="04A0" w:firstRow="1" w:lastRow="0" w:firstColumn="1" w:lastColumn="0" w:noHBand="0" w:noVBand="1"/>
      </w:tblPr>
      <w:tblGrid>
        <w:gridCol w:w="5467"/>
        <w:gridCol w:w="658"/>
        <w:gridCol w:w="3117"/>
      </w:tblGrid>
      <w:tr w:rsidR="008D137A" w:rsidRPr="00B80E25" w14:paraId="50E74D82" w14:textId="77777777" w:rsidTr="00EC5F96">
        <w:tc>
          <w:tcPr>
            <w:tcW w:w="5467" w:type="dxa"/>
            <w:tcBorders>
              <w:bottom w:val="single" w:sz="4" w:space="0" w:color="auto"/>
            </w:tcBorders>
            <w:shd w:val="clear" w:color="auto" w:fill="auto"/>
            <w:tcMar>
              <w:left w:w="0" w:type="dxa"/>
              <w:right w:w="115" w:type="dxa"/>
            </w:tcMar>
          </w:tcPr>
          <w:p w14:paraId="58D625EA" w14:textId="206B11CC" w:rsidR="00857477" w:rsidRPr="00B80E25" w:rsidRDefault="00857477" w:rsidP="00D6507D">
            <w:pPr>
              <w:spacing w:after="0" w:line="240" w:lineRule="auto"/>
              <w:rPr>
                <w:rFonts w:ascii="Times New Roman" w:hAnsi="Times New Roman"/>
                <w:sz w:val="24"/>
                <w:szCs w:val="24"/>
              </w:rPr>
            </w:pPr>
            <w:r w:rsidRPr="00B80E25">
              <w:rPr>
                <w:rFonts w:ascii="Times New Roman" w:hAnsi="Times New Roman"/>
                <w:sz w:val="24"/>
                <w:szCs w:val="24"/>
              </w:rPr>
              <w:t>STATE OF NEW YORK</w:t>
            </w:r>
          </w:p>
          <w:p w14:paraId="2A7954F4" w14:textId="77777777" w:rsidR="00857477" w:rsidRPr="00B80E25" w:rsidRDefault="00857477" w:rsidP="00D6507D">
            <w:pPr>
              <w:spacing w:after="0" w:line="240" w:lineRule="auto"/>
              <w:rPr>
                <w:rFonts w:ascii="Times New Roman" w:hAnsi="Times New Roman"/>
                <w:sz w:val="24"/>
                <w:szCs w:val="24"/>
              </w:rPr>
            </w:pPr>
          </w:p>
          <w:p w14:paraId="0BBCF168" w14:textId="77777777" w:rsidR="00857477" w:rsidRPr="00B80E25" w:rsidRDefault="00857477" w:rsidP="00D6507D">
            <w:pPr>
              <w:spacing w:after="0" w:line="240" w:lineRule="auto"/>
              <w:rPr>
                <w:rFonts w:ascii="Times New Roman" w:hAnsi="Times New Roman"/>
                <w:sz w:val="24"/>
                <w:szCs w:val="24"/>
              </w:rPr>
            </w:pPr>
            <w:r w:rsidRPr="00B80E25">
              <w:rPr>
                <w:rFonts w:ascii="Times New Roman" w:hAnsi="Times New Roman"/>
                <w:sz w:val="24"/>
                <w:szCs w:val="24"/>
              </w:rPr>
              <w:t>DIVISION OF TAX APPEALS</w:t>
            </w:r>
          </w:p>
          <w:p w14:paraId="6A85D14F" w14:textId="77777777" w:rsidR="00857477" w:rsidRPr="00B80E25" w:rsidRDefault="00857477" w:rsidP="00D6507D">
            <w:pPr>
              <w:spacing w:after="0" w:line="240" w:lineRule="auto"/>
              <w:rPr>
                <w:rFonts w:ascii="Times New Roman" w:hAnsi="Times New Roman"/>
                <w:sz w:val="24"/>
                <w:szCs w:val="24"/>
              </w:rPr>
            </w:pPr>
          </w:p>
        </w:tc>
        <w:tc>
          <w:tcPr>
            <w:tcW w:w="658" w:type="dxa"/>
            <w:shd w:val="clear" w:color="auto" w:fill="auto"/>
          </w:tcPr>
          <w:p w14:paraId="2ABBBC2F" w14:textId="77777777" w:rsidR="00857477" w:rsidRPr="00B80E25" w:rsidRDefault="00857477" w:rsidP="00D6507D">
            <w:pPr>
              <w:spacing w:after="0" w:line="240" w:lineRule="auto"/>
              <w:rPr>
                <w:rFonts w:ascii="Times New Roman" w:hAnsi="Times New Roman"/>
                <w:sz w:val="24"/>
                <w:szCs w:val="24"/>
              </w:rPr>
            </w:pPr>
          </w:p>
        </w:tc>
        <w:tc>
          <w:tcPr>
            <w:tcW w:w="3117" w:type="dxa"/>
            <w:shd w:val="clear" w:color="auto" w:fill="auto"/>
          </w:tcPr>
          <w:p w14:paraId="7F2F33E8" w14:textId="77777777" w:rsidR="00857477" w:rsidRPr="00B80E25" w:rsidRDefault="00857477" w:rsidP="00D6507D">
            <w:pPr>
              <w:spacing w:after="0" w:line="240" w:lineRule="auto"/>
              <w:rPr>
                <w:rFonts w:ascii="Times New Roman" w:hAnsi="Times New Roman"/>
                <w:sz w:val="24"/>
                <w:szCs w:val="24"/>
              </w:rPr>
            </w:pPr>
          </w:p>
        </w:tc>
      </w:tr>
      <w:tr w:rsidR="008D137A" w:rsidRPr="00B80E25" w14:paraId="6C7AC136" w14:textId="77777777" w:rsidTr="00AF0E0F">
        <w:tc>
          <w:tcPr>
            <w:tcW w:w="5467" w:type="dxa"/>
            <w:tcBorders>
              <w:top w:val="single" w:sz="4" w:space="0" w:color="auto"/>
              <w:bottom w:val="single" w:sz="4" w:space="0" w:color="auto"/>
            </w:tcBorders>
            <w:shd w:val="clear" w:color="auto" w:fill="auto"/>
            <w:tcMar>
              <w:left w:w="0" w:type="dxa"/>
              <w:right w:w="115" w:type="dxa"/>
            </w:tcMar>
            <w:vAlign w:val="center"/>
          </w:tcPr>
          <w:p w14:paraId="54954260" w14:textId="77777777" w:rsidR="00857477" w:rsidRPr="00B80E25" w:rsidRDefault="00857477" w:rsidP="00D6507D">
            <w:pPr>
              <w:spacing w:after="0" w:line="240" w:lineRule="auto"/>
              <w:rPr>
                <w:rFonts w:ascii="Times New Roman" w:hAnsi="Times New Roman"/>
                <w:sz w:val="24"/>
                <w:szCs w:val="24"/>
              </w:rPr>
            </w:pPr>
          </w:p>
          <w:p w14:paraId="7D204805" w14:textId="77777777" w:rsidR="00EC5F96" w:rsidRPr="00B80E25" w:rsidRDefault="00857477" w:rsidP="00D6507D">
            <w:pPr>
              <w:spacing w:after="0" w:line="240" w:lineRule="auto"/>
              <w:jc w:val="center"/>
              <w:rPr>
                <w:rFonts w:ascii="Times New Roman" w:hAnsi="Times New Roman"/>
                <w:sz w:val="24"/>
                <w:szCs w:val="24"/>
              </w:rPr>
            </w:pPr>
            <w:r w:rsidRPr="00B80E25">
              <w:rPr>
                <w:rFonts w:ascii="Times New Roman" w:hAnsi="Times New Roman"/>
                <w:sz w:val="24"/>
                <w:szCs w:val="24"/>
              </w:rPr>
              <w:t xml:space="preserve">In the Matter of the Petition </w:t>
            </w:r>
          </w:p>
          <w:p w14:paraId="5A77DE47" w14:textId="77777777" w:rsidR="00EC5F96" w:rsidRPr="00B80E25" w:rsidRDefault="00EC5F96" w:rsidP="00D6507D">
            <w:pPr>
              <w:spacing w:after="0" w:line="240" w:lineRule="auto"/>
              <w:jc w:val="center"/>
              <w:rPr>
                <w:rFonts w:ascii="Times New Roman" w:hAnsi="Times New Roman"/>
                <w:sz w:val="24"/>
                <w:szCs w:val="24"/>
              </w:rPr>
            </w:pPr>
          </w:p>
          <w:p w14:paraId="43972A60" w14:textId="77777777" w:rsidR="00857477" w:rsidRPr="00B80E25" w:rsidRDefault="00857477" w:rsidP="00D6507D">
            <w:pPr>
              <w:spacing w:after="0" w:line="240" w:lineRule="auto"/>
              <w:jc w:val="center"/>
              <w:rPr>
                <w:rFonts w:ascii="Times New Roman" w:hAnsi="Times New Roman"/>
                <w:sz w:val="24"/>
                <w:szCs w:val="24"/>
              </w:rPr>
            </w:pPr>
            <w:r w:rsidRPr="00B80E25">
              <w:rPr>
                <w:rFonts w:ascii="Times New Roman" w:hAnsi="Times New Roman"/>
                <w:sz w:val="24"/>
                <w:szCs w:val="24"/>
              </w:rPr>
              <w:t>of</w:t>
            </w:r>
          </w:p>
          <w:p w14:paraId="194183E3" w14:textId="77777777" w:rsidR="00857477" w:rsidRPr="00B80E25" w:rsidRDefault="00857477" w:rsidP="00D6507D">
            <w:pPr>
              <w:spacing w:after="0" w:line="240" w:lineRule="auto"/>
              <w:rPr>
                <w:rFonts w:ascii="Times New Roman" w:hAnsi="Times New Roman"/>
                <w:sz w:val="24"/>
                <w:szCs w:val="24"/>
              </w:rPr>
            </w:pPr>
          </w:p>
          <w:p w14:paraId="016D5B3C" w14:textId="52EA49E3" w:rsidR="00857477" w:rsidRPr="00B80E25" w:rsidRDefault="000D67C1" w:rsidP="00D6507D">
            <w:pPr>
              <w:spacing w:after="0" w:line="240" w:lineRule="auto"/>
              <w:jc w:val="center"/>
              <w:rPr>
                <w:rFonts w:ascii="Times New Roman" w:hAnsi="Times New Roman"/>
                <w:b/>
                <w:sz w:val="24"/>
                <w:szCs w:val="24"/>
              </w:rPr>
            </w:pPr>
            <w:r>
              <w:rPr>
                <w:rFonts w:ascii="Times New Roman" w:hAnsi="Times New Roman"/>
                <w:b/>
                <w:sz w:val="24"/>
                <w:szCs w:val="24"/>
              </w:rPr>
              <w:t xml:space="preserve">FAWZIA A. MOHAMED </w:t>
            </w:r>
            <w:r w:rsidR="00AB60E7">
              <w:rPr>
                <w:rFonts w:ascii="Times New Roman" w:hAnsi="Times New Roman"/>
                <w:b/>
                <w:sz w:val="24"/>
                <w:szCs w:val="24"/>
              </w:rPr>
              <w:t>AND</w:t>
            </w:r>
            <w:r>
              <w:rPr>
                <w:rFonts w:ascii="Times New Roman" w:hAnsi="Times New Roman"/>
                <w:b/>
                <w:sz w:val="24"/>
                <w:szCs w:val="24"/>
              </w:rPr>
              <w:t xml:space="preserve"> IBRAHIM A. HEMEDA</w:t>
            </w:r>
          </w:p>
          <w:p w14:paraId="5B51B003" w14:textId="77777777" w:rsidR="00857477" w:rsidRPr="00B80E25" w:rsidRDefault="00857477" w:rsidP="00D6507D">
            <w:pPr>
              <w:spacing w:after="0" w:line="240" w:lineRule="auto"/>
              <w:rPr>
                <w:rFonts w:ascii="Times New Roman" w:hAnsi="Times New Roman"/>
                <w:sz w:val="24"/>
                <w:szCs w:val="24"/>
              </w:rPr>
            </w:pPr>
          </w:p>
          <w:p w14:paraId="67DA4B2A" w14:textId="77777777" w:rsidR="00857477" w:rsidRPr="00B80E25" w:rsidRDefault="00857477" w:rsidP="00D6507D">
            <w:pPr>
              <w:spacing w:after="0" w:line="240" w:lineRule="auto"/>
              <w:rPr>
                <w:rFonts w:ascii="Times New Roman" w:hAnsi="Times New Roman"/>
                <w:sz w:val="24"/>
                <w:szCs w:val="24"/>
              </w:rPr>
            </w:pPr>
          </w:p>
          <w:p w14:paraId="3C827B07" w14:textId="1C1A8463" w:rsidR="00857477" w:rsidRPr="00B80E25" w:rsidRDefault="00857477" w:rsidP="00D6507D">
            <w:pPr>
              <w:spacing w:after="0" w:line="240" w:lineRule="auto"/>
              <w:rPr>
                <w:rFonts w:ascii="Times New Roman" w:hAnsi="Times New Roman"/>
                <w:sz w:val="24"/>
                <w:szCs w:val="24"/>
              </w:rPr>
            </w:pPr>
            <w:r w:rsidRPr="00B80E25">
              <w:rPr>
                <w:rFonts w:ascii="Times New Roman" w:hAnsi="Times New Roman"/>
                <w:sz w:val="24"/>
                <w:szCs w:val="24"/>
              </w:rPr>
              <w:t>for Re</w:t>
            </w:r>
            <w:r w:rsidR="008358DD">
              <w:rPr>
                <w:rFonts w:ascii="Times New Roman" w:hAnsi="Times New Roman"/>
                <w:sz w:val="24"/>
                <w:szCs w:val="24"/>
              </w:rPr>
              <w:t>determination</w:t>
            </w:r>
            <w:r w:rsidRPr="00B80E25">
              <w:rPr>
                <w:rFonts w:ascii="Times New Roman" w:hAnsi="Times New Roman"/>
                <w:sz w:val="24"/>
                <w:szCs w:val="24"/>
              </w:rPr>
              <w:t xml:space="preserve"> of </w:t>
            </w:r>
            <w:r w:rsidR="00E7496E">
              <w:rPr>
                <w:rFonts w:ascii="Times New Roman" w:hAnsi="Times New Roman"/>
                <w:sz w:val="24"/>
                <w:szCs w:val="24"/>
              </w:rPr>
              <w:t>a</w:t>
            </w:r>
            <w:r w:rsidR="00662D5F">
              <w:rPr>
                <w:rFonts w:ascii="Times New Roman" w:hAnsi="Times New Roman"/>
                <w:sz w:val="24"/>
                <w:szCs w:val="24"/>
              </w:rPr>
              <w:t xml:space="preserve"> Deficiency</w:t>
            </w:r>
            <w:r w:rsidR="00864560">
              <w:rPr>
                <w:rFonts w:ascii="Times New Roman" w:hAnsi="Times New Roman"/>
                <w:sz w:val="24"/>
                <w:szCs w:val="24"/>
              </w:rPr>
              <w:t xml:space="preserve"> </w:t>
            </w:r>
            <w:r w:rsidRPr="00B80E25">
              <w:rPr>
                <w:rFonts w:ascii="Times New Roman" w:hAnsi="Times New Roman"/>
                <w:sz w:val="24"/>
                <w:szCs w:val="24"/>
              </w:rPr>
              <w:t xml:space="preserve">or for Refund of </w:t>
            </w:r>
            <w:r w:rsidR="00720664">
              <w:rPr>
                <w:rFonts w:ascii="Times New Roman" w:hAnsi="Times New Roman"/>
                <w:sz w:val="24"/>
                <w:szCs w:val="24"/>
              </w:rPr>
              <w:t xml:space="preserve">Personal Income Tax </w:t>
            </w:r>
            <w:r w:rsidRPr="00B80E25">
              <w:rPr>
                <w:rFonts w:ascii="Times New Roman" w:hAnsi="Times New Roman"/>
                <w:sz w:val="24"/>
                <w:szCs w:val="24"/>
              </w:rPr>
              <w:t>under Article</w:t>
            </w:r>
            <w:r w:rsidR="00FC17F2">
              <w:rPr>
                <w:rFonts w:ascii="Times New Roman" w:hAnsi="Times New Roman"/>
                <w:sz w:val="24"/>
                <w:szCs w:val="24"/>
              </w:rPr>
              <w:t xml:space="preserve"> </w:t>
            </w:r>
            <w:r w:rsidR="00720664">
              <w:rPr>
                <w:rFonts w:ascii="Times New Roman" w:hAnsi="Times New Roman"/>
                <w:sz w:val="24"/>
                <w:szCs w:val="24"/>
              </w:rPr>
              <w:t>22</w:t>
            </w:r>
            <w:r w:rsidR="00FC17F2">
              <w:rPr>
                <w:rFonts w:ascii="Times New Roman" w:hAnsi="Times New Roman"/>
                <w:sz w:val="24"/>
                <w:szCs w:val="24"/>
              </w:rPr>
              <w:t xml:space="preserve"> </w:t>
            </w:r>
            <w:r w:rsidRPr="00B80E25">
              <w:rPr>
                <w:rFonts w:ascii="Times New Roman" w:hAnsi="Times New Roman"/>
                <w:sz w:val="24"/>
                <w:szCs w:val="24"/>
              </w:rPr>
              <w:t>of the Tax Law</w:t>
            </w:r>
            <w:r w:rsidR="00720664">
              <w:rPr>
                <w:rFonts w:ascii="Times New Roman" w:hAnsi="Times New Roman"/>
                <w:sz w:val="24"/>
                <w:szCs w:val="24"/>
              </w:rPr>
              <w:t xml:space="preserve"> and the Administrative Code of the City of New York</w:t>
            </w:r>
            <w:r w:rsidRPr="00B80E25">
              <w:rPr>
                <w:rFonts w:ascii="Times New Roman" w:hAnsi="Times New Roman"/>
                <w:sz w:val="24"/>
                <w:szCs w:val="24"/>
              </w:rPr>
              <w:t xml:space="preserve"> for the </w:t>
            </w:r>
            <w:r w:rsidR="00720664">
              <w:rPr>
                <w:rFonts w:ascii="Times New Roman" w:hAnsi="Times New Roman"/>
                <w:sz w:val="24"/>
                <w:szCs w:val="24"/>
              </w:rPr>
              <w:t>Year</w:t>
            </w:r>
            <w:r w:rsidR="00AF0A24">
              <w:rPr>
                <w:rFonts w:ascii="Times New Roman" w:hAnsi="Times New Roman"/>
                <w:sz w:val="24"/>
                <w:szCs w:val="24"/>
              </w:rPr>
              <w:t xml:space="preserve"> </w:t>
            </w:r>
            <w:r w:rsidR="00720664">
              <w:rPr>
                <w:rFonts w:ascii="Times New Roman" w:hAnsi="Times New Roman"/>
                <w:sz w:val="24"/>
                <w:szCs w:val="24"/>
              </w:rPr>
              <w:t>2016.</w:t>
            </w:r>
          </w:p>
          <w:p w14:paraId="74B67D2D" w14:textId="77777777" w:rsidR="007F7194" w:rsidRPr="00B80E25" w:rsidRDefault="007F7194" w:rsidP="00D6507D">
            <w:pPr>
              <w:spacing w:after="0" w:line="240" w:lineRule="auto"/>
              <w:rPr>
                <w:rFonts w:ascii="Times New Roman" w:hAnsi="Times New Roman"/>
                <w:sz w:val="24"/>
                <w:szCs w:val="24"/>
              </w:rPr>
            </w:pPr>
          </w:p>
        </w:tc>
        <w:tc>
          <w:tcPr>
            <w:tcW w:w="658" w:type="dxa"/>
            <w:shd w:val="clear" w:color="auto" w:fill="auto"/>
            <w:tcMar>
              <w:left w:w="0" w:type="dxa"/>
              <w:right w:w="115" w:type="dxa"/>
            </w:tcMar>
          </w:tcPr>
          <w:p w14:paraId="17ED2C0C" w14:textId="77777777" w:rsidR="00857477" w:rsidRPr="00B80E25" w:rsidRDefault="00857477" w:rsidP="00D6507D">
            <w:pPr>
              <w:spacing w:after="0" w:line="240" w:lineRule="auto"/>
              <w:rPr>
                <w:rFonts w:ascii="Times New Roman" w:hAnsi="Times New Roman"/>
                <w:sz w:val="24"/>
                <w:szCs w:val="24"/>
              </w:rPr>
            </w:pPr>
            <w:r w:rsidRPr="00B80E25">
              <w:rPr>
                <w:rFonts w:ascii="Times New Roman" w:hAnsi="Times New Roman"/>
                <w:sz w:val="24"/>
                <w:szCs w:val="24"/>
              </w:rPr>
              <w:t>:</w:t>
            </w:r>
          </w:p>
          <w:p w14:paraId="00BF9637" w14:textId="77777777" w:rsidR="00857477" w:rsidRPr="00B80E25" w:rsidRDefault="00857477" w:rsidP="00D6507D">
            <w:pPr>
              <w:spacing w:after="0" w:line="240" w:lineRule="auto"/>
              <w:rPr>
                <w:rFonts w:ascii="Times New Roman" w:hAnsi="Times New Roman"/>
                <w:sz w:val="24"/>
                <w:szCs w:val="24"/>
              </w:rPr>
            </w:pPr>
          </w:p>
          <w:p w14:paraId="50F264E4" w14:textId="77777777" w:rsidR="00857477" w:rsidRPr="00B80E25" w:rsidRDefault="00857477" w:rsidP="00D6507D">
            <w:pPr>
              <w:spacing w:after="0" w:line="240" w:lineRule="auto"/>
              <w:rPr>
                <w:rFonts w:ascii="Times New Roman" w:hAnsi="Times New Roman"/>
                <w:sz w:val="24"/>
                <w:szCs w:val="24"/>
              </w:rPr>
            </w:pPr>
            <w:r w:rsidRPr="00B80E25">
              <w:rPr>
                <w:rFonts w:ascii="Times New Roman" w:hAnsi="Times New Roman"/>
                <w:sz w:val="24"/>
                <w:szCs w:val="24"/>
              </w:rPr>
              <w:t>:</w:t>
            </w:r>
          </w:p>
          <w:p w14:paraId="7E155F69" w14:textId="77777777" w:rsidR="00857477" w:rsidRPr="00B80E25" w:rsidRDefault="00857477" w:rsidP="00D6507D">
            <w:pPr>
              <w:spacing w:after="0" w:line="240" w:lineRule="auto"/>
              <w:rPr>
                <w:rFonts w:ascii="Times New Roman" w:hAnsi="Times New Roman"/>
                <w:sz w:val="24"/>
                <w:szCs w:val="24"/>
              </w:rPr>
            </w:pPr>
          </w:p>
          <w:p w14:paraId="14FA299F" w14:textId="77777777" w:rsidR="00857477" w:rsidRPr="00B80E25" w:rsidRDefault="00857477" w:rsidP="00D6507D">
            <w:pPr>
              <w:spacing w:after="0" w:line="240" w:lineRule="auto"/>
              <w:rPr>
                <w:rFonts w:ascii="Times New Roman" w:hAnsi="Times New Roman"/>
                <w:sz w:val="24"/>
                <w:szCs w:val="24"/>
              </w:rPr>
            </w:pPr>
            <w:r w:rsidRPr="00B80E25">
              <w:rPr>
                <w:rFonts w:ascii="Times New Roman" w:hAnsi="Times New Roman"/>
                <w:sz w:val="24"/>
                <w:szCs w:val="24"/>
              </w:rPr>
              <w:t>:</w:t>
            </w:r>
          </w:p>
          <w:p w14:paraId="5C1B7095" w14:textId="77777777" w:rsidR="00857477" w:rsidRPr="00B80E25" w:rsidRDefault="00857477" w:rsidP="00D6507D">
            <w:pPr>
              <w:spacing w:after="0" w:line="240" w:lineRule="auto"/>
              <w:rPr>
                <w:rFonts w:ascii="Times New Roman" w:hAnsi="Times New Roman"/>
                <w:sz w:val="24"/>
                <w:szCs w:val="24"/>
              </w:rPr>
            </w:pPr>
          </w:p>
          <w:p w14:paraId="23BAEA55" w14:textId="77777777" w:rsidR="00857477" w:rsidRPr="00B80E25" w:rsidRDefault="00857477" w:rsidP="00D6507D">
            <w:pPr>
              <w:spacing w:after="0" w:line="240" w:lineRule="auto"/>
              <w:rPr>
                <w:rFonts w:ascii="Times New Roman" w:hAnsi="Times New Roman"/>
                <w:sz w:val="24"/>
                <w:szCs w:val="24"/>
              </w:rPr>
            </w:pPr>
            <w:r w:rsidRPr="00B80E25">
              <w:rPr>
                <w:rFonts w:ascii="Times New Roman" w:hAnsi="Times New Roman"/>
                <w:sz w:val="24"/>
                <w:szCs w:val="24"/>
              </w:rPr>
              <w:t>:</w:t>
            </w:r>
          </w:p>
          <w:p w14:paraId="54BC8F6D" w14:textId="77777777" w:rsidR="00857477" w:rsidRPr="00B80E25" w:rsidRDefault="00857477" w:rsidP="00D6507D">
            <w:pPr>
              <w:spacing w:after="0" w:line="240" w:lineRule="auto"/>
              <w:rPr>
                <w:rFonts w:ascii="Times New Roman" w:hAnsi="Times New Roman"/>
                <w:sz w:val="24"/>
                <w:szCs w:val="24"/>
              </w:rPr>
            </w:pPr>
          </w:p>
          <w:p w14:paraId="60D72C8D" w14:textId="77777777" w:rsidR="00857477" w:rsidRPr="00B80E25" w:rsidRDefault="00857477" w:rsidP="00D6507D">
            <w:pPr>
              <w:spacing w:after="0" w:line="240" w:lineRule="auto"/>
              <w:rPr>
                <w:rFonts w:ascii="Times New Roman" w:hAnsi="Times New Roman"/>
                <w:sz w:val="24"/>
                <w:szCs w:val="24"/>
              </w:rPr>
            </w:pPr>
            <w:r w:rsidRPr="00B80E25">
              <w:rPr>
                <w:rFonts w:ascii="Times New Roman" w:hAnsi="Times New Roman"/>
                <w:sz w:val="24"/>
                <w:szCs w:val="24"/>
              </w:rPr>
              <w:t>:</w:t>
            </w:r>
          </w:p>
          <w:p w14:paraId="39D502E7" w14:textId="77777777" w:rsidR="00857477" w:rsidRPr="00B80E25" w:rsidRDefault="00857477" w:rsidP="00D6507D">
            <w:pPr>
              <w:spacing w:after="0" w:line="240" w:lineRule="auto"/>
              <w:rPr>
                <w:rFonts w:ascii="Times New Roman" w:hAnsi="Times New Roman"/>
                <w:sz w:val="24"/>
                <w:szCs w:val="24"/>
              </w:rPr>
            </w:pPr>
          </w:p>
          <w:p w14:paraId="3BDD1E0D" w14:textId="77777777" w:rsidR="00857477" w:rsidRPr="00B80E25" w:rsidRDefault="00857477" w:rsidP="00D6507D">
            <w:pPr>
              <w:spacing w:after="0" w:line="240" w:lineRule="auto"/>
              <w:rPr>
                <w:rFonts w:ascii="Times New Roman" w:hAnsi="Times New Roman"/>
                <w:sz w:val="24"/>
                <w:szCs w:val="24"/>
              </w:rPr>
            </w:pPr>
            <w:r w:rsidRPr="00B80E25">
              <w:rPr>
                <w:rFonts w:ascii="Times New Roman" w:hAnsi="Times New Roman"/>
                <w:sz w:val="24"/>
                <w:szCs w:val="24"/>
              </w:rPr>
              <w:t>:</w:t>
            </w:r>
          </w:p>
          <w:p w14:paraId="2CD6B32A" w14:textId="77777777" w:rsidR="00EC5F96" w:rsidRPr="00B80E25" w:rsidRDefault="00EC5F96" w:rsidP="00D6507D">
            <w:pPr>
              <w:spacing w:after="0" w:line="240" w:lineRule="auto"/>
              <w:rPr>
                <w:rFonts w:ascii="Times New Roman" w:hAnsi="Times New Roman"/>
                <w:sz w:val="24"/>
                <w:szCs w:val="24"/>
              </w:rPr>
            </w:pPr>
          </w:p>
          <w:p w14:paraId="229370D9" w14:textId="77777777" w:rsidR="00EC5F96" w:rsidRDefault="00EC5F96" w:rsidP="00D6507D">
            <w:pPr>
              <w:spacing w:after="0" w:line="240" w:lineRule="auto"/>
              <w:rPr>
                <w:rFonts w:ascii="Times New Roman" w:hAnsi="Times New Roman"/>
                <w:sz w:val="24"/>
                <w:szCs w:val="24"/>
              </w:rPr>
            </w:pPr>
            <w:r w:rsidRPr="00B80E25">
              <w:rPr>
                <w:rFonts w:ascii="Times New Roman" w:hAnsi="Times New Roman"/>
                <w:sz w:val="24"/>
                <w:szCs w:val="24"/>
              </w:rPr>
              <w:t>:</w:t>
            </w:r>
          </w:p>
          <w:p w14:paraId="42375A21" w14:textId="77777777" w:rsidR="006D1222" w:rsidRDefault="006D1222" w:rsidP="00D6507D">
            <w:pPr>
              <w:spacing w:after="0" w:line="240" w:lineRule="auto"/>
              <w:rPr>
                <w:rFonts w:ascii="Times New Roman" w:hAnsi="Times New Roman"/>
                <w:sz w:val="24"/>
                <w:szCs w:val="24"/>
              </w:rPr>
            </w:pPr>
          </w:p>
          <w:p w14:paraId="43A40EF3" w14:textId="60896B18" w:rsidR="006D1222" w:rsidRPr="00B80E25" w:rsidRDefault="006D1222" w:rsidP="00D6507D">
            <w:pPr>
              <w:spacing w:after="0" w:line="240" w:lineRule="auto"/>
              <w:rPr>
                <w:rFonts w:ascii="Times New Roman" w:hAnsi="Times New Roman"/>
                <w:sz w:val="24"/>
                <w:szCs w:val="24"/>
              </w:rPr>
            </w:pPr>
            <w:r w:rsidRPr="00B80E25">
              <w:rPr>
                <w:rFonts w:ascii="Times New Roman" w:hAnsi="Times New Roman"/>
                <w:sz w:val="24"/>
                <w:szCs w:val="24"/>
              </w:rPr>
              <w:t>:</w:t>
            </w:r>
          </w:p>
        </w:tc>
        <w:tc>
          <w:tcPr>
            <w:tcW w:w="3117" w:type="dxa"/>
            <w:shd w:val="clear" w:color="auto" w:fill="auto"/>
            <w:vAlign w:val="center"/>
          </w:tcPr>
          <w:p w14:paraId="07DE5F11" w14:textId="0E0232CE" w:rsidR="00857477" w:rsidRPr="00B80E25" w:rsidRDefault="006D1222" w:rsidP="00D6507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DETERMINATION</w:t>
            </w:r>
          </w:p>
          <w:p w14:paraId="78F1BA08" w14:textId="3AF495C2" w:rsidR="00857477" w:rsidRPr="00B80E25" w:rsidRDefault="00857477" w:rsidP="00D6507D">
            <w:pPr>
              <w:spacing w:after="0"/>
              <w:rPr>
                <w:rFonts w:ascii="Times New Roman" w:hAnsi="Times New Roman"/>
                <w:sz w:val="24"/>
                <w:szCs w:val="24"/>
              </w:rPr>
            </w:pPr>
            <w:r w:rsidRPr="00B80E25">
              <w:rPr>
                <w:rFonts w:ascii="Times New Roman" w:hAnsi="Times New Roman"/>
                <w:sz w:val="24"/>
                <w:szCs w:val="24"/>
              </w:rPr>
              <w:t xml:space="preserve">DTA NO. </w:t>
            </w:r>
            <w:r w:rsidR="00AF78F4">
              <w:rPr>
                <w:rFonts w:ascii="Times New Roman" w:hAnsi="Times New Roman"/>
                <w:sz w:val="24"/>
                <w:szCs w:val="24"/>
              </w:rPr>
              <w:t>82</w:t>
            </w:r>
            <w:r w:rsidR="00995938">
              <w:rPr>
                <w:rFonts w:ascii="Times New Roman" w:hAnsi="Times New Roman"/>
                <w:sz w:val="24"/>
                <w:szCs w:val="24"/>
              </w:rPr>
              <w:t>95</w:t>
            </w:r>
            <w:r w:rsidR="000D67C1">
              <w:rPr>
                <w:rFonts w:ascii="Times New Roman" w:hAnsi="Times New Roman"/>
                <w:sz w:val="24"/>
                <w:szCs w:val="24"/>
              </w:rPr>
              <w:t>61</w:t>
            </w:r>
          </w:p>
        </w:tc>
      </w:tr>
    </w:tbl>
    <w:p w14:paraId="3C531BA5" w14:textId="4D7D7AEE" w:rsidR="00AF0E0F" w:rsidRDefault="003718F6" w:rsidP="003718F6">
      <w:pPr>
        <w:tabs>
          <w:tab w:val="left" w:pos="6912"/>
        </w:tabs>
        <w:spacing w:after="0" w:line="480" w:lineRule="auto"/>
        <w:rPr>
          <w:rFonts w:ascii="Times New Roman" w:hAnsi="Times New Roman"/>
          <w:sz w:val="24"/>
          <w:szCs w:val="24"/>
        </w:rPr>
      </w:pPr>
      <w:r>
        <w:rPr>
          <w:rFonts w:ascii="Times New Roman" w:hAnsi="Times New Roman"/>
          <w:sz w:val="24"/>
          <w:szCs w:val="24"/>
        </w:rPr>
        <w:tab/>
      </w:r>
    </w:p>
    <w:p w14:paraId="5B58597D" w14:textId="747C831A" w:rsidR="008358DD" w:rsidRDefault="008358DD" w:rsidP="00D6507D">
      <w:pPr>
        <w:spacing w:after="0" w:line="480" w:lineRule="auto"/>
        <w:rPr>
          <w:rFonts w:ascii="Times New Roman" w:hAnsi="Times New Roman"/>
          <w:sz w:val="24"/>
          <w:szCs w:val="24"/>
        </w:rPr>
      </w:pPr>
      <w:r>
        <w:rPr>
          <w:rFonts w:ascii="Times New Roman" w:hAnsi="Times New Roman"/>
          <w:sz w:val="24"/>
          <w:szCs w:val="24"/>
        </w:rPr>
        <w:tab/>
        <w:t>Petitioner</w:t>
      </w:r>
      <w:r w:rsidR="0047343B">
        <w:rPr>
          <w:rFonts w:ascii="Times New Roman" w:hAnsi="Times New Roman"/>
          <w:sz w:val="24"/>
          <w:szCs w:val="24"/>
        </w:rPr>
        <w:t>s</w:t>
      </w:r>
      <w:r>
        <w:rPr>
          <w:rFonts w:ascii="Times New Roman" w:hAnsi="Times New Roman"/>
          <w:sz w:val="24"/>
          <w:szCs w:val="24"/>
        </w:rPr>
        <w:t xml:space="preserve">, </w:t>
      </w:r>
      <w:r w:rsidR="0047343B">
        <w:rPr>
          <w:rFonts w:ascii="Times New Roman" w:hAnsi="Times New Roman"/>
          <w:sz w:val="24"/>
          <w:szCs w:val="24"/>
        </w:rPr>
        <w:t>Fawzia A. Mohamed and Ibrahim A. Hemeda</w:t>
      </w:r>
      <w:r>
        <w:rPr>
          <w:rFonts w:ascii="Times New Roman" w:hAnsi="Times New Roman"/>
          <w:sz w:val="24"/>
          <w:szCs w:val="24"/>
        </w:rPr>
        <w:t xml:space="preserve">, filed a petition for redetermination of </w:t>
      </w:r>
      <w:r w:rsidR="00662D5F">
        <w:rPr>
          <w:rFonts w:ascii="Times New Roman" w:hAnsi="Times New Roman"/>
          <w:sz w:val="24"/>
          <w:szCs w:val="24"/>
        </w:rPr>
        <w:t xml:space="preserve">a </w:t>
      </w:r>
      <w:r w:rsidR="00C92ABE" w:rsidRPr="00C92ABE">
        <w:rPr>
          <w:rFonts w:ascii="Times New Roman" w:hAnsi="Times New Roman"/>
          <w:sz w:val="24"/>
          <w:szCs w:val="24"/>
        </w:rPr>
        <w:t>de</w:t>
      </w:r>
      <w:r w:rsidR="00C92ABE">
        <w:rPr>
          <w:rFonts w:ascii="Times New Roman" w:hAnsi="Times New Roman"/>
          <w:sz w:val="24"/>
          <w:szCs w:val="24"/>
        </w:rPr>
        <w:t>ficienc</w:t>
      </w:r>
      <w:r w:rsidR="00662D5F">
        <w:rPr>
          <w:rFonts w:ascii="Times New Roman" w:hAnsi="Times New Roman"/>
          <w:sz w:val="24"/>
          <w:szCs w:val="24"/>
        </w:rPr>
        <w:t>y</w:t>
      </w:r>
      <w:r w:rsidR="00864560" w:rsidRPr="00C92ABE">
        <w:rPr>
          <w:rFonts w:ascii="Times New Roman" w:hAnsi="Times New Roman"/>
          <w:sz w:val="24"/>
          <w:szCs w:val="24"/>
        </w:rPr>
        <w:t xml:space="preserve"> </w:t>
      </w:r>
      <w:r>
        <w:rPr>
          <w:rFonts w:ascii="Times New Roman" w:hAnsi="Times New Roman"/>
          <w:sz w:val="24"/>
          <w:szCs w:val="24"/>
        </w:rPr>
        <w:t>or for refund of</w:t>
      </w:r>
      <w:r w:rsidR="00C92ABE">
        <w:rPr>
          <w:rFonts w:ascii="Times New Roman" w:hAnsi="Times New Roman"/>
          <w:sz w:val="24"/>
          <w:szCs w:val="24"/>
        </w:rPr>
        <w:t xml:space="preserve"> </w:t>
      </w:r>
      <w:r>
        <w:rPr>
          <w:rFonts w:ascii="Times New Roman" w:hAnsi="Times New Roman"/>
          <w:sz w:val="24"/>
          <w:szCs w:val="24"/>
        </w:rPr>
        <w:t>personal income tax under article 22 of the Tax Law and the Administrative Code of the City of New York for the year 2016.</w:t>
      </w:r>
    </w:p>
    <w:p w14:paraId="676DF45D" w14:textId="43927963" w:rsidR="005D0A17" w:rsidRDefault="005D0A17" w:rsidP="00D6507D">
      <w:pPr>
        <w:spacing w:after="0" w:line="480" w:lineRule="auto"/>
        <w:rPr>
          <w:rFonts w:ascii="Times New Roman" w:hAnsi="Times New Roman"/>
          <w:sz w:val="24"/>
          <w:szCs w:val="24"/>
        </w:rPr>
      </w:pPr>
      <w:r>
        <w:rPr>
          <w:rFonts w:ascii="Times New Roman" w:hAnsi="Times New Roman"/>
          <w:sz w:val="24"/>
          <w:szCs w:val="24"/>
        </w:rPr>
        <w:tab/>
        <w:t xml:space="preserve">On </w:t>
      </w:r>
      <w:r w:rsidR="00F96FBA">
        <w:rPr>
          <w:rFonts w:ascii="Times New Roman" w:hAnsi="Times New Roman"/>
          <w:sz w:val="24"/>
          <w:szCs w:val="24"/>
        </w:rPr>
        <w:t>March 27</w:t>
      </w:r>
      <w:r>
        <w:rPr>
          <w:rFonts w:ascii="Times New Roman" w:hAnsi="Times New Roman"/>
          <w:sz w:val="24"/>
          <w:szCs w:val="24"/>
        </w:rPr>
        <w:t>, 2020, the Division of Taxation, by Amanda Hiller, Esq. (</w:t>
      </w:r>
      <w:r w:rsidR="00F96FBA">
        <w:rPr>
          <w:rFonts w:ascii="Times New Roman" w:hAnsi="Times New Roman"/>
          <w:sz w:val="24"/>
          <w:szCs w:val="24"/>
        </w:rPr>
        <w:t>Mary Hurteau</w:t>
      </w:r>
      <w:r>
        <w:rPr>
          <w:rFonts w:ascii="Times New Roman" w:hAnsi="Times New Roman"/>
          <w:sz w:val="24"/>
          <w:szCs w:val="24"/>
        </w:rPr>
        <w:t>, Esq.</w:t>
      </w:r>
      <w:r w:rsidR="00F367F5" w:rsidRPr="00F2188A">
        <w:rPr>
          <w:rFonts w:ascii="Times New Roman" w:hAnsi="Times New Roman"/>
          <w:sz w:val="24"/>
          <w:szCs w:val="24"/>
        </w:rPr>
        <w:t>,</w:t>
      </w:r>
      <w:r>
        <w:rPr>
          <w:rFonts w:ascii="Times New Roman" w:hAnsi="Times New Roman"/>
          <w:sz w:val="24"/>
          <w:szCs w:val="24"/>
        </w:rPr>
        <w:t xml:space="preserve"> of counsel), filed a motion seeking to have the petition dismissed, or, in the alternative, granting summary determination in the above-captioned matter pursuant to sections 3000.5, and 3000.9 (a) and (b) of the Rules of Practice and Procedure of the Tax Appeals Tribunal.  Petitioner</w:t>
      </w:r>
      <w:r w:rsidR="00F96FBA">
        <w:rPr>
          <w:rFonts w:ascii="Times New Roman" w:hAnsi="Times New Roman"/>
          <w:sz w:val="24"/>
          <w:szCs w:val="24"/>
        </w:rPr>
        <w:t>s</w:t>
      </w:r>
      <w:r>
        <w:rPr>
          <w:rFonts w:ascii="Times New Roman" w:hAnsi="Times New Roman"/>
          <w:sz w:val="24"/>
          <w:szCs w:val="24"/>
        </w:rPr>
        <w:t xml:space="preserve">, appearing pro se, did not respond to the motion.  The 90-day period for issuance of this </w:t>
      </w:r>
      <w:r w:rsidR="00073EA9" w:rsidRPr="00C92ABE">
        <w:rPr>
          <w:rFonts w:ascii="Times New Roman" w:hAnsi="Times New Roman"/>
          <w:sz w:val="24"/>
          <w:szCs w:val="24"/>
        </w:rPr>
        <w:t>order</w:t>
      </w:r>
      <w:r w:rsidR="00073EA9">
        <w:rPr>
          <w:rFonts w:ascii="Times New Roman" w:hAnsi="Times New Roman"/>
          <w:sz w:val="24"/>
          <w:szCs w:val="24"/>
        </w:rPr>
        <w:t xml:space="preserve"> </w:t>
      </w:r>
      <w:r>
        <w:rPr>
          <w:rFonts w:ascii="Times New Roman" w:hAnsi="Times New Roman"/>
          <w:sz w:val="24"/>
          <w:szCs w:val="24"/>
        </w:rPr>
        <w:t xml:space="preserve">commenced on </w:t>
      </w:r>
      <w:r w:rsidR="00623A45">
        <w:rPr>
          <w:rFonts w:ascii="Times New Roman" w:hAnsi="Times New Roman"/>
          <w:sz w:val="24"/>
          <w:szCs w:val="24"/>
        </w:rPr>
        <w:t>April 27</w:t>
      </w:r>
      <w:r>
        <w:rPr>
          <w:rFonts w:ascii="Times New Roman" w:hAnsi="Times New Roman"/>
          <w:sz w:val="24"/>
          <w:szCs w:val="24"/>
        </w:rPr>
        <w:t xml:space="preserve">, 2020.  Based upon the motion papers and all pleadings and documents submitted in connection with this matter, Jessica DiFiore, Administrative Law Judge, renders the following </w:t>
      </w:r>
      <w:r w:rsidR="006D1222">
        <w:rPr>
          <w:rFonts w:ascii="Times New Roman" w:hAnsi="Times New Roman"/>
          <w:sz w:val="24"/>
          <w:szCs w:val="24"/>
        </w:rPr>
        <w:t>determination</w:t>
      </w:r>
      <w:r>
        <w:rPr>
          <w:rFonts w:ascii="Times New Roman" w:hAnsi="Times New Roman"/>
          <w:sz w:val="24"/>
          <w:szCs w:val="24"/>
        </w:rPr>
        <w:t>.</w:t>
      </w:r>
    </w:p>
    <w:p w14:paraId="00447978" w14:textId="77777777" w:rsidR="00824B03" w:rsidRDefault="00824B03" w:rsidP="00D6507D">
      <w:pPr>
        <w:spacing w:after="0" w:line="480" w:lineRule="auto"/>
        <w:rPr>
          <w:rFonts w:ascii="Times New Roman" w:hAnsi="Times New Roman"/>
          <w:sz w:val="24"/>
          <w:szCs w:val="24"/>
        </w:rPr>
      </w:pPr>
    </w:p>
    <w:p w14:paraId="5DF4905D" w14:textId="77777777" w:rsidR="00824B03" w:rsidRDefault="00824B03" w:rsidP="00D6507D">
      <w:pPr>
        <w:spacing w:after="0" w:line="480" w:lineRule="auto"/>
        <w:rPr>
          <w:rFonts w:ascii="Times New Roman" w:hAnsi="Times New Roman"/>
          <w:sz w:val="24"/>
          <w:szCs w:val="24"/>
        </w:rPr>
      </w:pPr>
    </w:p>
    <w:p w14:paraId="0A531A3B" w14:textId="380F76DF" w:rsidR="005D0A17" w:rsidRDefault="005D0A17" w:rsidP="005D0A17">
      <w:pPr>
        <w:spacing w:after="0" w:line="480" w:lineRule="auto"/>
        <w:jc w:val="center"/>
        <w:rPr>
          <w:rFonts w:ascii="Times New Roman" w:hAnsi="Times New Roman"/>
          <w:b/>
          <w:bCs/>
          <w:i/>
          <w:iCs/>
          <w:sz w:val="24"/>
          <w:szCs w:val="24"/>
        </w:rPr>
      </w:pPr>
      <w:r>
        <w:rPr>
          <w:rFonts w:ascii="Times New Roman" w:hAnsi="Times New Roman"/>
          <w:b/>
          <w:bCs/>
          <w:i/>
          <w:iCs/>
          <w:sz w:val="24"/>
          <w:szCs w:val="24"/>
        </w:rPr>
        <w:lastRenderedPageBreak/>
        <w:t>ISSUE</w:t>
      </w:r>
    </w:p>
    <w:p w14:paraId="3121EE26" w14:textId="79CE8706" w:rsidR="005D0A17" w:rsidRDefault="005D0A17" w:rsidP="00EE06B6">
      <w:pPr>
        <w:pStyle w:val="ListParagraph"/>
        <w:spacing w:after="0" w:line="480" w:lineRule="auto"/>
        <w:ind w:left="0" w:firstLine="720"/>
        <w:rPr>
          <w:rFonts w:ascii="Times New Roman" w:hAnsi="Times New Roman"/>
          <w:sz w:val="24"/>
          <w:szCs w:val="24"/>
        </w:rPr>
      </w:pPr>
      <w:r>
        <w:rPr>
          <w:rFonts w:ascii="Times New Roman" w:hAnsi="Times New Roman"/>
          <w:sz w:val="24"/>
          <w:szCs w:val="24"/>
        </w:rPr>
        <w:t>Whether petitioner</w:t>
      </w:r>
      <w:r w:rsidR="00EE06B6">
        <w:rPr>
          <w:rFonts w:ascii="Times New Roman" w:hAnsi="Times New Roman"/>
          <w:sz w:val="24"/>
          <w:szCs w:val="24"/>
        </w:rPr>
        <w:t>s</w:t>
      </w:r>
      <w:r>
        <w:rPr>
          <w:rFonts w:ascii="Times New Roman" w:hAnsi="Times New Roman"/>
          <w:sz w:val="24"/>
          <w:szCs w:val="24"/>
        </w:rPr>
        <w:t xml:space="preserve"> filed a timely request for conciliation conference with the Bureau of Conciliation and Mediation Services following the issuance of </w:t>
      </w:r>
      <w:r w:rsidR="00596C39" w:rsidRPr="00F2188A">
        <w:rPr>
          <w:rFonts w:ascii="Times New Roman" w:hAnsi="Times New Roman"/>
          <w:sz w:val="24"/>
          <w:szCs w:val="24"/>
        </w:rPr>
        <w:t>a</w:t>
      </w:r>
      <w:r w:rsidR="00596C39">
        <w:rPr>
          <w:rFonts w:ascii="Times New Roman" w:hAnsi="Times New Roman"/>
          <w:color w:val="FF0000"/>
          <w:sz w:val="24"/>
          <w:szCs w:val="24"/>
        </w:rPr>
        <w:t xml:space="preserve"> </w:t>
      </w:r>
      <w:r>
        <w:rPr>
          <w:rFonts w:ascii="Times New Roman" w:hAnsi="Times New Roman"/>
          <w:sz w:val="24"/>
          <w:szCs w:val="24"/>
        </w:rPr>
        <w:t>notice of deficiency</w:t>
      </w:r>
      <w:r w:rsidR="00EE06B6">
        <w:rPr>
          <w:rFonts w:ascii="Times New Roman" w:hAnsi="Times New Roman"/>
          <w:sz w:val="24"/>
          <w:szCs w:val="24"/>
        </w:rPr>
        <w:t>.</w:t>
      </w:r>
    </w:p>
    <w:p w14:paraId="63E3A85A" w14:textId="0F9D4E64" w:rsidR="00662E44" w:rsidRPr="00EE06B6" w:rsidRDefault="004B21DE" w:rsidP="00EE06B6">
      <w:pPr>
        <w:spacing w:after="0" w:line="480" w:lineRule="auto"/>
        <w:jc w:val="center"/>
        <w:rPr>
          <w:rFonts w:ascii="Times New Roman" w:hAnsi="Times New Roman"/>
          <w:sz w:val="24"/>
          <w:szCs w:val="24"/>
        </w:rPr>
      </w:pPr>
      <w:r w:rsidRPr="00EE06B6">
        <w:rPr>
          <w:rFonts w:ascii="Times New Roman" w:hAnsi="Times New Roman"/>
          <w:b/>
          <w:i/>
          <w:sz w:val="24"/>
          <w:szCs w:val="24"/>
        </w:rPr>
        <w:t xml:space="preserve">FINDINGS </w:t>
      </w:r>
      <w:r w:rsidR="00AE55B4" w:rsidRPr="00EE06B6">
        <w:rPr>
          <w:rFonts w:ascii="Times New Roman" w:hAnsi="Times New Roman"/>
          <w:b/>
          <w:i/>
          <w:sz w:val="24"/>
          <w:szCs w:val="24"/>
        </w:rPr>
        <w:t>OF FACT</w:t>
      </w:r>
    </w:p>
    <w:p w14:paraId="10D1F251" w14:textId="6A5E1C1B" w:rsidR="007B0076" w:rsidRDefault="004D2833" w:rsidP="004D2833">
      <w:pPr>
        <w:pStyle w:val="ListParagraph"/>
        <w:numPr>
          <w:ilvl w:val="0"/>
          <w:numId w:val="7"/>
        </w:numPr>
        <w:spacing w:after="0" w:line="480" w:lineRule="auto"/>
        <w:ind w:left="0" w:firstLine="720"/>
        <w:rPr>
          <w:rFonts w:ascii="Times New Roman" w:hAnsi="Times New Roman"/>
          <w:sz w:val="24"/>
          <w:szCs w:val="24"/>
        </w:rPr>
      </w:pPr>
      <w:r>
        <w:rPr>
          <w:rFonts w:ascii="Times New Roman" w:hAnsi="Times New Roman"/>
          <w:sz w:val="24"/>
          <w:szCs w:val="24"/>
        </w:rPr>
        <w:t xml:space="preserve">  </w:t>
      </w:r>
      <w:r w:rsidR="007B0076">
        <w:rPr>
          <w:rFonts w:ascii="Times New Roman" w:hAnsi="Times New Roman"/>
          <w:sz w:val="24"/>
          <w:szCs w:val="24"/>
        </w:rPr>
        <w:t>Petitioner</w:t>
      </w:r>
      <w:r w:rsidR="00F17C30">
        <w:rPr>
          <w:rFonts w:ascii="Times New Roman" w:hAnsi="Times New Roman"/>
          <w:sz w:val="24"/>
          <w:szCs w:val="24"/>
        </w:rPr>
        <w:t>s</w:t>
      </w:r>
      <w:r w:rsidR="007B0076">
        <w:rPr>
          <w:rFonts w:ascii="Times New Roman" w:hAnsi="Times New Roman"/>
          <w:sz w:val="24"/>
          <w:szCs w:val="24"/>
        </w:rPr>
        <w:t xml:space="preserve">, </w:t>
      </w:r>
      <w:r w:rsidR="00F17C30">
        <w:rPr>
          <w:rFonts w:ascii="Times New Roman" w:hAnsi="Times New Roman"/>
          <w:sz w:val="24"/>
          <w:szCs w:val="24"/>
        </w:rPr>
        <w:t>Fawzia A. Mohamed and Ibrahim A. Hemeda</w:t>
      </w:r>
      <w:r w:rsidR="007B0076">
        <w:rPr>
          <w:rFonts w:ascii="Times New Roman" w:hAnsi="Times New Roman"/>
          <w:sz w:val="24"/>
          <w:szCs w:val="24"/>
        </w:rPr>
        <w:t xml:space="preserve">, timely filed </w:t>
      </w:r>
      <w:r w:rsidR="00BE13C2">
        <w:rPr>
          <w:rFonts w:ascii="Times New Roman" w:hAnsi="Times New Roman"/>
          <w:sz w:val="24"/>
          <w:szCs w:val="24"/>
        </w:rPr>
        <w:t>a</w:t>
      </w:r>
      <w:r w:rsidR="007B0076">
        <w:rPr>
          <w:rFonts w:ascii="Times New Roman" w:hAnsi="Times New Roman"/>
          <w:sz w:val="24"/>
          <w:szCs w:val="24"/>
        </w:rPr>
        <w:t xml:space="preserve"> 201</w:t>
      </w:r>
      <w:r w:rsidR="00F17C30">
        <w:rPr>
          <w:rFonts w:ascii="Times New Roman" w:hAnsi="Times New Roman"/>
          <w:sz w:val="24"/>
          <w:szCs w:val="24"/>
        </w:rPr>
        <w:t>7</w:t>
      </w:r>
      <w:r w:rsidR="007B0076">
        <w:rPr>
          <w:rFonts w:ascii="Times New Roman" w:hAnsi="Times New Roman"/>
          <w:sz w:val="24"/>
          <w:szCs w:val="24"/>
        </w:rPr>
        <w:t xml:space="preserve"> New York resident income tax return, form IT-201 (201</w:t>
      </w:r>
      <w:r w:rsidR="00F17C30">
        <w:rPr>
          <w:rFonts w:ascii="Times New Roman" w:hAnsi="Times New Roman"/>
          <w:sz w:val="24"/>
          <w:szCs w:val="24"/>
        </w:rPr>
        <w:t>7</w:t>
      </w:r>
      <w:r w:rsidR="007B0076">
        <w:rPr>
          <w:rFonts w:ascii="Times New Roman" w:hAnsi="Times New Roman"/>
          <w:sz w:val="24"/>
          <w:szCs w:val="24"/>
        </w:rPr>
        <w:t xml:space="preserve"> return), providing an address </w:t>
      </w:r>
      <w:r w:rsidR="00F17C30">
        <w:rPr>
          <w:rFonts w:ascii="Times New Roman" w:hAnsi="Times New Roman"/>
          <w:sz w:val="24"/>
          <w:szCs w:val="24"/>
        </w:rPr>
        <w:t>in Brooklyn, N</w:t>
      </w:r>
      <w:r w:rsidR="00A8303E">
        <w:rPr>
          <w:rFonts w:ascii="Times New Roman" w:hAnsi="Times New Roman"/>
          <w:sz w:val="24"/>
          <w:szCs w:val="24"/>
        </w:rPr>
        <w:t xml:space="preserve">ew </w:t>
      </w:r>
      <w:r w:rsidR="00F17C30">
        <w:rPr>
          <w:rFonts w:ascii="Times New Roman" w:hAnsi="Times New Roman"/>
          <w:sz w:val="24"/>
          <w:szCs w:val="24"/>
        </w:rPr>
        <w:t>Y</w:t>
      </w:r>
      <w:r w:rsidR="00A8303E">
        <w:rPr>
          <w:rFonts w:ascii="Times New Roman" w:hAnsi="Times New Roman"/>
          <w:sz w:val="24"/>
          <w:szCs w:val="24"/>
        </w:rPr>
        <w:t>ork</w:t>
      </w:r>
      <w:r w:rsidR="007B0076">
        <w:rPr>
          <w:rFonts w:ascii="Times New Roman" w:hAnsi="Times New Roman"/>
          <w:sz w:val="24"/>
          <w:szCs w:val="24"/>
        </w:rPr>
        <w:t>.</w:t>
      </w:r>
    </w:p>
    <w:p w14:paraId="39AFCC3B" w14:textId="05D06302" w:rsidR="00B44C64" w:rsidRPr="003B5FCD" w:rsidRDefault="007B0076" w:rsidP="003B5FCD">
      <w:pPr>
        <w:pStyle w:val="ListParagraph"/>
        <w:numPr>
          <w:ilvl w:val="0"/>
          <w:numId w:val="7"/>
        </w:numPr>
        <w:spacing w:after="0" w:line="480" w:lineRule="auto"/>
        <w:ind w:left="0" w:firstLine="720"/>
        <w:rPr>
          <w:rFonts w:ascii="Times New Roman" w:hAnsi="Times New Roman"/>
          <w:sz w:val="24"/>
          <w:szCs w:val="24"/>
        </w:rPr>
      </w:pPr>
      <w:r>
        <w:rPr>
          <w:rFonts w:ascii="Times New Roman" w:hAnsi="Times New Roman"/>
          <w:sz w:val="24"/>
          <w:szCs w:val="24"/>
        </w:rPr>
        <w:t xml:space="preserve">  </w:t>
      </w:r>
      <w:r w:rsidR="00684ECD">
        <w:rPr>
          <w:rFonts w:ascii="Times New Roman" w:hAnsi="Times New Roman"/>
          <w:sz w:val="24"/>
          <w:szCs w:val="24"/>
        </w:rPr>
        <w:t xml:space="preserve">The Division of Taxation (Division) issued </w:t>
      </w:r>
      <w:r w:rsidR="008C6D3E">
        <w:rPr>
          <w:rFonts w:ascii="Times New Roman" w:hAnsi="Times New Roman"/>
          <w:sz w:val="24"/>
          <w:szCs w:val="24"/>
        </w:rPr>
        <w:t>petitioner</w:t>
      </w:r>
      <w:r w:rsidR="00F17C30">
        <w:rPr>
          <w:rFonts w:ascii="Times New Roman" w:hAnsi="Times New Roman"/>
          <w:sz w:val="24"/>
          <w:szCs w:val="24"/>
        </w:rPr>
        <w:t>s</w:t>
      </w:r>
      <w:r w:rsidR="008C6D3E">
        <w:rPr>
          <w:rFonts w:ascii="Times New Roman" w:hAnsi="Times New Roman"/>
          <w:sz w:val="24"/>
          <w:szCs w:val="24"/>
        </w:rPr>
        <w:t xml:space="preserve"> </w:t>
      </w:r>
      <w:r w:rsidR="00684ECD">
        <w:rPr>
          <w:rFonts w:ascii="Times New Roman" w:hAnsi="Times New Roman"/>
          <w:sz w:val="24"/>
          <w:szCs w:val="24"/>
        </w:rPr>
        <w:t>notice of deficiency L-0</w:t>
      </w:r>
      <w:r w:rsidR="00F17C30">
        <w:rPr>
          <w:rFonts w:ascii="Times New Roman" w:hAnsi="Times New Roman"/>
          <w:sz w:val="24"/>
          <w:szCs w:val="24"/>
        </w:rPr>
        <w:t>48713107</w:t>
      </w:r>
      <w:r w:rsidR="00F2188A">
        <w:rPr>
          <w:rFonts w:ascii="Times New Roman" w:hAnsi="Times New Roman"/>
          <w:sz w:val="24"/>
          <w:szCs w:val="24"/>
        </w:rPr>
        <w:t xml:space="preserve"> </w:t>
      </w:r>
      <w:r w:rsidR="00684ECD">
        <w:rPr>
          <w:rFonts w:ascii="Times New Roman" w:hAnsi="Times New Roman"/>
          <w:sz w:val="24"/>
          <w:szCs w:val="24"/>
        </w:rPr>
        <w:t xml:space="preserve">for tax year 2016 on </w:t>
      </w:r>
      <w:r w:rsidR="00F17C30">
        <w:rPr>
          <w:rFonts w:ascii="Times New Roman" w:hAnsi="Times New Roman"/>
          <w:sz w:val="24"/>
          <w:szCs w:val="24"/>
        </w:rPr>
        <w:t>November 9</w:t>
      </w:r>
      <w:r w:rsidR="00684ECD">
        <w:rPr>
          <w:rFonts w:ascii="Times New Roman" w:hAnsi="Times New Roman"/>
          <w:sz w:val="24"/>
          <w:szCs w:val="24"/>
        </w:rPr>
        <w:t>, 201</w:t>
      </w:r>
      <w:r w:rsidR="00F17C30">
        <w:rPr>
          <w:rFonts w:ascii="Times New Roman" w:hAnsi="Times New Roman"/>
          <w:sz w:val="24"/>
          <w:szCs w:val="24"/>
        </w:rPr>
        <w:t>8</w:t>
      </w:r>
      <w:r w:rsidR="002E55E7">
        <w:rPr>
          <w:rFonts w:ascii="Times New Roman" w:hAnsi="Times New Roman"/>
          <w:sz w:val="24"/>
          <w:szCs w:val="24"/>
        </w:rPr>
        <w:t>.</w:t>
      </w:r>
      <w:r w:rsidR="0095746E">
        <w:rPr>
          <w:rFonts w:ascii="Times New Roman" w:hAnsi="Times New Roman"/>
          <w:sz w:val="24"/>
          <w:szCs w:val="24"/>
        </w:rPr>
        <w:t xml:space="preserve">  The notice </w:t>
      </w:r>
      <w:r w:rsidR="00F17C30">
        <w:rPr>
          <w:rFonts w:ascii="Times New Roman" w:hAnsi="Times New Roman"/>
          <w:sz w:val="24"/>
          <w:szCs w:val="24"/>
        </w:rPr>
        <w:t>is</w:t>
      </w:r>
      <w:r w:rsidR="0095746E">
        <w:rPr>
          <w:rFonts w:ascii="Times New Roman" w:hAnsi="Times New Roman"/>
          <w:sz w:val="24"/>
          <w:szCs w:val="24"/>
        </w:rPr>
        <w:t xml:space="preserve"> addressed to petitioner</w:t>
      </w:r>
      <w:r w:rsidR="00F17C30">
        <w:rPr>
          <w:rFonts w:ascii="Times New Roman" w:hAnsi="Times New Roman"/>
          <w:sz w:val="24"/>
          <w:szCs w:val="24"/>
        </w:rPr>
        <w:t>s</w:t>
      </w:r>
      <w:r w:rsidR="0095746E">
        <w:rPr>
          <w:rFonts w:ascii="Times New Roman" w:hAnsi="Times New Roman"/>
          <w:sz w:val="24"/>
          <w:szCs w:val="24"/>
        </w:rPr>
        <w:t xml:space="preserve"> at </w:t>
      </w:r>
      <w:r w:rsidR="00A8303E">
        <w:rPr>
          <w:rFonts w:ascii="Times New Roman" w:hAnsi="Times New Roman"/>
          <w:sz w:val="24"/>
          <w:szCs w:val="24"/>
        </w:rPr>
        <w:t>the same Brooklyn, New York</w:t>
      </w:r>
      <w:r w:rsidR="00F367F5" w:rsidRPr="00A262CE">
        <w:rPr>
          <w:rFonts w:ascii="Times New Roman" w:hAnsi="Times New Roman"/>
          <w:sz w:val="24"/>
          <w:szCs w:val="24"/>
        </w:rPr>
        <w:t>,</w:t>
      </w:r>
      <w:r w:rsidR="00A8303E">
        <w:rPr>
          <w:rFonts w:ascii="Times New Roman" w:hAnsi="Times New Roman"/>
          <w:sz w:val="24"/>
          <w:szCs w:val="24"/>
        </w:rPr>
        <w:t xml:space="preserve"> address.</w:t>
      </w:r>
    </w:p>
    <w:p w14:paraId="283AB825" w14:textId="56CBA6D2" w:rsidR="00B44C64" w:rsidRDefault="004D2833" w:rsidP="004D2833">
      <w:pPr>
        <w:pStyle w:val="ListParagraph"/>
        <w:numPr>
          <w:ilvl w:val="0"/>
          <w:numId w:val="7"/>
        </w:numPr>
        <w:spacing w:after="0" w:line="480" w:lineRule="auto"/>
        <w:ind w:left="0" w:firstLine="720"/>
        <w:rPr>
          <w:rFonts w:ascii="Times New Roman" w:hAnsi="Times New Roman"/>
          <w:sz w:val="24"/>
          <w:szCs w:val="24"/>
        </w:rPr>
      </w:pPr>
      <w:r>
        <w:rPr>
          <w:rFonts w:ascii="Times New Roman" w:hAnsi="Times New Roman"/>
          <w:sz w:val="24"/>
          <w:szCs w:val="24"/>
        </w:rPr>
        <w:t xml:space="preserve">  </w:t>
      </w:r>
      <w:r w:rsidR="00B44C64">
        <w:rPr>
          <w:rFonts w:ascii="Times New Roman" w:hAnsi="Times New Roman"/>
          <w:sz w:val="24"/>
          <w:szCs w:val="24"/>
        </w:rPr>
        <w:t>Petitioner</w:t>
      </w:r>
      <w:r w:rsidR="00C97101">
        <w:rPr>
          <w:rFonts w:ascii="Times New Roman" w:hAnsi="Times New Roman"/>
          <w:sz w:val="24"/>
          <w:szCs w:val="24"/>
        </w:rPr>
        <w:t>s</w:t>
      </w:r>
      <w:r w:rsidR="00B44C64">
        <w:rPr>
          <w:rFonts w:ascii="Times New Roman" w:hAnsi="Times New Roman"/>
          <w:sz w:val="24"/>
          <w:szCs w:val="24"/>
        </w:rPr>
        <w:t xml:space="preserve"> requested a conciliation conference with </w:t>
      </w:r>
      <w:r w:rsidR="003B5FCD">
        <w:rPr>
          <w:rFonts w:ascii="Times New Roman" w:hAnsi="Times New Roman"/>
          <w:sz w:val="24"/>
          <w:szCs w:val="24"/>
        </w:rPr>
        <w:t>the Bureau of Conciliation and Mediation Services (</w:t>
      </w:r>
      <w:r w:rsidR="00B44C64">
        <w:rPr>
          <w:rFonts w:ascii="Times New Roman" w:hAnsi="Times New Roman"/>
          <w:sz w:val="24"/>
          <w:szCs w:val="24"/>
        </w:rPr>
        <w:t>BCMS</w:t>
      </w:r>
      <w:r w:rsidR="003B5FCD">
        <w:rPr>
          <w:rFonts w:ascii="Times New Roman" w:hAnsi="Times New Roman"/>
          <w:sz w:val="24"/>
          <w:szCs w:val="24"/>
        </w:rPr>
        <w:t>)</w:t>
      </w:r>
      <w:r w:rsidR="00B44C64">
        <w:rPr>
          <w:rFonts w:ascii="Times New Roman" w:hAnsi="Times New Roman"/>
          <w:sz w:val="24"/>
          <w:szCs w:val="24"/>
        </w:rPr>
        <w:t xml:space="preserve"> regarding notice L-</w:t>
      </w:r>
      <w:r w:rsidR="003B5FCD">
        <w:rPr>
          <w:rFonts w:ascii="Times New Roman" w:hAnsi="Times New Roman"/>
          <w:sz w:val="24"/>
          <w:szCs w:val="24"/>
        </w:rPr>
        <w:t>048713107</w:t>
      </w:r>
      <w:r w:rsidR="00A262CE">
        <w:rPr>
          <w:rFonts w:ascii="Times New Roman" w:hAnsi="Times New Roman"/>
          <w:sz w:val="24"/>
          <w:szCs w:val="24"/>
        </w:rPr>
        <w:t xml:space="preserve"> </w:t>
      </w:r>
      <w:r w:rsidR="00A63220">
        <w:rPr>
          <w:rFonts w:ascii="Times New Roman" w:hAnsi="Times New Roman"/>
          <w:sz w:val="24"/>
          <w:szCs w:val="24"/>
        </w:rPr>
        <w:t xml:space="preserve">on August </w:t>
      </w:r>
      <w:r w:rsidR="003B5FCD">
        <w:rPr>
          <w:rFonts w:ascii="Times New Roman" w:hAnsi="Times New Roman"/>
          <w:sz w:val="24"/>
          <w:szCs w:val="24"/>
        </w:rPr>
        <w:t>1</w:t>
      </w:r>
      <w:r w:rsidR="00A63220">
        <w:rPr>
          <w:rFonts w:ascii="Times New Roman" w:hAnsi="Times New Roman"/>
          <w:sz w:val="24"/>
          <w:szCs w:val="24"/>
        </w:rPr>
        <w:t>5, 2019</w:t>
      </w:r>
      <w:r w:rsidR="00EA11D0">
        <w:rPr>
          <w:rFonts w:ascii="Times New Roman" w:hAnsi="Times New Roman"/>
          <w:sz w:val="24"/>
          <w:szCs w:val="24"/>
        </w:rPr>
        <w:t xml:space="preserve">. </w:t>
      </w:r>
      <w:r w:rsidR="00B44C64">
        <w:rPr>
          <w:rFonts w:ascii="Times New Roman" w:hAnsi="Times New Roman"/>
          <w:sz w:val="24"/>
          <w:szCs w:val="24"/>
        </w:rPr>
        <w:t xml:space="preserve"> </w:t>
      </w:r>
      <w:r w:rsidR="003B5FCD">
        <w:rPr>
          <w:rFonts w:ascii="Times New Roman" w:hAnsi="Times New Roman"/>
          <w:sz w:val="24"/>
          <w:szCs w:val="24"/>
        </w:rPr>
        <w:t>Petitioners provided the same Brooklyn, New York</w:t>
      </w:r>
      <w:r w:rsidR="004875F1" w:rsidRPr="004875F1">
        <w:rPr>
          <w:rFonts w:ascii="Times New Roman" w:hAnsi="Times New Roman"/>
          <w:sz w:val="24"/>
          <w:szCs w:val="24"/>
        </w:rPr>
        <w:t>,</w:t>
      </w:r>
      <w:r w:rsidR="003B5FCD">
        <w:rPr>
          <w:rFonts w:ascii="Times New Roman" w:hAnsi="Times New Roman"/>
          <w:sz w:val="24"/>
          <w:szCs w:val="24"/>
        </w:rPr>
        <w:t xml:space="preserve"> address on their request as was on </w:t>
      </w:r>
      <w:r w:rsidR="002066DC">
        <w:rPr>
          <w:rFonts w:ascii="Times New Roman" w:hAnsi="Times New Roman"/>
          <w:sz w:val="24"/>
          <w:szCs w:val="24"/>
        </w:rPr>
        <w:t>the notice</w:t>
      </w:r>
      <w:r w:rsidR="003B5FCD">
        <w:rPr>
          <w:rFonts w:ascii="Times New Roman" w:hAnsi="Times New Roman"/>
          <w:sz w:val="24"/>
          <w:szCs w:val="24"/>
        </w:rPr>
        <w:t xml:space="preserve"> and their 2017 return.</w:t>
      </w:r>
      <w:r w:rsidR="007F2BA2">
        <w:rPr>
          <w:rFonts w:ascii="Times New Roman" w:hAnsi="Times New Roman"/>
          <w:sz w:val="24"/>
          <w:szCs w:val="24"/>
        </w:rPr>
        <w:t xml:space="preserve">  </w:t>
      </w:r>
      <w:r w:rsidR="00EA11D0">
        <w:rPr>
          <w:rFonts w:ascii="Times New Roman" w:hAnsi="Times New Roman"/>
          <w:sz w:val="24"/>
          <w:szCs w:val="24"/>
        </w:rPr>
        <w:t>BCMS dismis</w:t>
      </w:r>
      <w:r w:rsidR="000A2A23">
        <w:rPr>
          <w:rFonts w:ascii="Times New Roman" w:hAnsi="Times New Roman"/>
          <w:sz w:val="24"/>
          <w:szCs w:val="24"/>
        </w:rPr>
        <w:t>s</w:t>
      </w:r>
      <w:r w:rsidR="00EA11D0">
        <w:rPr>
          <w:rFonts w:ascii="Times New Roman" w:hAnsi="Times New Roman"/>
          <w:sz w:val="24"/>
          <w:szCs w:val="24"/>
        </w:rPr>
        <w:t>ed petitioners</w:t>
      </w:r>
      <w:r w:rsidR="003B5FCD">
        <w:rPr>
          <w:rFonts w:ascii="Times New Roman" w:hAnsi="Times New Roman"/>
          <w:sz w:val="24"/>
          <w:szCs w:val="24"/>
        </w:rPr>
        <w:t>’</w:t>
      </w:r>
      <w:r w:rsidR="00EA11D0">
        <w:rPr>
          <w:rFonts w:ascii="Times New Roman" w:hAnsi="Times New Roman"/>
          <w:sz w:val="24"/>
          <w:szCs w:val="24"/>
        </w:rPr>
        <w:t xml:space="preserve"> request as untimely b</w:t>
      </w:r>
      <w:r w:rsidR="00B44C64">
        <w:rPr>
          <w:rFonts w:ascii="Times New Roman" w:hAnsi="Times New Roman"/>
          <w:sz w:val="24"/>
          <w:szCs w:val="24"/>
        </w:rPr>
        <w:t>y conciliation order dismissing request</w:t>
      </w:r>
      <w:r w:rsidR="0095746E">
        <w:rPr>
          <w:rFonts w:ascii="Times New Roman" w:hAnsi="Times New Roman"/>
          <w:sz w:val="24"/>
          <w:szCs w:val="24"/>
        </w:rPr>
        <w:t xml:space="preserve"> (order) </w:t>
      </w:r>
      <w:r w:rsidR="00B44C64">
        <w:rPr>
          <w:rFonts w:ascii="Times New Roman" w:hAnsi="Times New Roman"/>
          <w:sz w:val="24"/>
          <w:szCs w:val="24"/>
        </w:rPr>
        <w:t>number 000313</w:t>
      </w:r>
      <w:r w:rsidR="003B5FCD">
        <w:rPr>
          <w:rFonts w:ascii="Times New Roman" w:hAnsi="Times New Roman"/>
          <w:sz w:val="24"/>
          <w:szCs w:val="24"/>
        </w:rPr>
        <w:t>911</w:t>
      </w:r>
      <w:r w:rsidR="00B44C64">
        <w:rPr>
          <w:rFonts w:ascii="Times New Roman" w:hAnsi="Times New Roman"/>
          <w:sz w:val="24"/>
          <w:szCs w:val="24"/>
        </w:rPr>
        <w:t xml:space="preserve">, dated </w:t>
      </w:r>
      <w:r w:rsidR="003B5FCD">
        <w:rPr>
          <w:rFonts w:ascii="Times New Roman" w:hAnsi="Times New Roman"/>
          <w:sz w:val="24"/>
          <w:szCs w:val="24"/>
        </w:rPr>
        <w:t>September 6</w:t>
      </w:r>
      <w:r w:rsidR="00B44C64">
        <w:rPr>
          <w:rFonts w:ascii="Times New Roman" w:hAnsi="Times New Roman"/>
          <w:sz w:val="24"/>
          <w:szCs w:val="24"/>
        </w:rPr>
        <w:t>, 2019</w:t>
      </w:r>
      <w:r w:rsidR="0095746E">
        <w:rPr>
          <w:rFonts w:ascii="Times New Roman" w:hAnsi="Times New Roman"/>
          <w:sz w:val="24"/>
          <w:szCs w:val="24"/>
        </w:rPr>
        <w:t>.</w:t>
      </w:r>
      <w:r w:rsidR="00B44C64">
        <w:rPr>
          <w:rFonts w:ascii="Times New Roman" w:hAnsi="Times New Roman"/>
          <w:sz w:val="24"/>
          <w:szCs w:val="24"/>
        </w:rPr>
        <w:t xml:space="preserve"> </w:t>
      </w:r>
      <w:r w:rsidR="00A262CE">
        <w:rPr>
          <w:rFonts w:ascii="Times New Roman" w:hAnsi="Times New Roman"/>
          <w:sz w:val="24"/>
          <w:szCs w:val="24"/>
        </w:rPr>
        <w:t xml:space="preserve"> </w:t>
      </w:r>
      <w:r w:rsidR="0095746E">
        <w:rPr>
          <w:rFonts w:ascii="Times New Roman" w:hAnsi="Times New Roman"/>
          <w:sz w:val="24"/>
          <w:szCs w:val="24"/>
        </w:rPr>
        <w:t xml:space="preserve">The order provided </w:t>
      </w:r>
      <w:r w:rsidR="00B44C64">
        <w:rPr>
          <w:rFonts w:ascii="Times New Roman" w:hAnsi="Times New Roman"/>
          <w:sz w:val="24"/>
          <w:szCs w:val="24"/>
        </w:rPr>
        <w:t>petitioner</w:t>
      </w:r>
      <w:r w:rsidR="003B5FCD">
        <w:rPr>
          <w:rFonts w:ascii="Times New Roman" w:hAnsi="Times New Roman"/>
          <w:sz w:val="24"/>
          <w:szCs w:val="24"/>
        </w:rPr>
        <w:t>s</w:t>
      </w:r>
      <w:r w:rsidR="00B44C64">
        <w:rPr>
          <w:rFonts w:ascii="Times New Roman" w:hAnsi="Times New Roman"/>
          <w:sz w:val="24"/>
          <w:szCs w:val="24"/>
        </w:rPr>
        <w:t xml:space="preserve"> requested a </w:t>
      </w:r>
      <w:r w:rsidR="003B5FCD">
        <w:rPr>
          <w:rFonts w:ascii="Times New Roman" w:hAnsi="Times New Roman"/>
          <w:sz w:val="24"/>
          <w:szCs w:val="24"/>
        </w:rPr>
        <w:t xml:space="preserve">conciliation </w:t>
      </w:r>
      <w:r w:rsidR="00B44C64">
        <w:rPr>
          <w:rFonts w:ascii="Times New Roman" w:hAnsi="Times New Roman"/>
          <w:sz w:val="24"/>
          <w:szCs w:val="24"/>
        </w:rPr>
        <w:t>conferen</w:t>
      </w:r>
      <w:r w:rsidR="00523BE7">
        <w:rPr>
          <w:rFonts w:ascii="Times New Roman" w:hAnsi="Times New Roman"/>
          <w:sz w:val="24"/>
          <w:szCs w:val="24"/>
        </w:rPr>
        <w:t>ce</w:t>
      </w:r>
      <w:r w:rsidR="003B5FCD" w:rsidRPr="003B5FCD">
        <w:rPr>
          <w:rFonts w:ascii="Times New Roman" w:hAnsi="Times New Roman"/>
          <w:sz w:val="24"/>
          <w:szCs w:val="24"/>
        </w:rPr>
        <w:t xml:space="preserve"> </w:t>
      </w:r>
      <w:r w:rsidR="003B5FCD">
        <w:rPr>
          <w:rFonts w:ascii="Times New Roman" w:hAnsi="Times New Roman"/>
          <w:sz w:val="24"/>
          <w:szCs w:val="24"/>
        </w:rPr>
        <w:t>more than 90 days after notice L-048713107-2 was issued</w:t>
      </w:r>
      <w:r w:rsidR="00523BE7">
        <w:rPr>
          <w:rFonts w:ascii="Times New Roman" w:hAnsi="Times New Roman"/>
          <w:sz w:val="24"/>
          <w:szCs w:val="24"/>
        </w:rPr>
        <w:t>.</w:t>
      </w:r>
    </w:p>
    <w:p w14:paraId="5FDDA55C" w14:textId="63210F55" w:rsidR="008C6D3E" w:rsidRDefault="008C6D3E" w:rsidP="004D2833">
      <w:pPr>
        <w:pStyle w:val="ListParagraph"/>
        <w:numPr>
          <w:ilvl w:val="0"/>
          <w:numId w:val="7"/>
        </w:numPr>
        <w:spacing w:after="0" w:line="480" w:lineRule="auto"/>
        <w:ind w:left="0" w:firstLine="720"/>
        <w:rPr>
          <w:rFonts w:ascii="Times New Roman" w:hAnsi="Times New Roman"/>
          <w:sz w:val="24"/>
          <w:szCs w:val="24"/>
        </w:rPr>
      </w:pPr>
      <w:r>
        <w:rPr>
          <w:rFonts w:ascii="Times New Roman" w:hAnsi="Times New Roman"/>
          <w:sz w:val="24"/>
          <w:szCs w:val="24"/>
        </w:rPr>
        <w:t xml:space="preserve">  Petitioner</w:t>
      </w:r>
      <w:r w:rsidR="007B7A4C">
        <w:rPr>
          <w:rFonts w:ascii="Times New Roman" w:hAnsi="Times New Roman"/>
          <w:sz w:val="24"/>
          <w:szCs w:val="24"/>
        </w:rPr>
        <w:t>s</w:t>
      </w:r>
      <w:r>
        <w:rPr>
          <w:rFonts w:ascii="Times New Roman" w:hAnsi="Times New Roman"/>
          <w:sz w:val="24"/>
          <w:szCs w:val="24"/>
        </w:rPr>
        <w:t xml:space="preserve"> timely appealed </w:t>
      </w:r>
      <w:r w:rsidR="007B7A4C">
        <w:rPr>
          <w:rFonts w:ascii="Times New Roman" w:hAnsi="Times New Roman"/>
          <w:sz w:val="24"/>
          <w:szCs w:val="24"/>
        </w:rPr>
        <w:t>the BCMS</w:t>
      </w:r>
      <w:r>
        <w:rPr>
          <w:rFonts w:ascii="Times New Roman" w:hAnsi="Times New Roman"/>
          <w:sz w:val="24"/>
          <w:szCs w:val="24"/>
        </w:rPr>
        <w:t xml:space="preserve"> order by filing a petition with the Division of Tax Appeals on September </w:t>
      </w:r>
      <w:r w:rsidR="0035194B">
        <w:rPr>
          <w:rFonts w:ascii="Times New Roman" w:hAnsi="Times New Roman"/>
          <w:sz w:val="24"/>
          <w:szCs w:val="24"/>
        </w:rPr>
        <w:t>17</w:t>
      </w:r>
      <w:r>
        <w:rPr>
          <w:rFonts w:ascii="Times New Roman" w:hAnsi="Times New Roman"/>
          <w:sz w:val="24"/>
          <w:szCs w:val="24"/>
        </w:rPr>
        <w:t xml:space="preserve">, 2019.  </w:t>
      </w:r>
      <w:r w:rsidR="0027704B">
        <w:rPr>
          <w:rFonts w:ascii="Times New Roman" w:hAnsi="Times New Roman"/>
          <w:sz w:val="24"/>
          <w:szCs w:val="24"/>
        </w:rPr>
        <w:t xml:space="preserve">In </w:t>
      </w:r>
      <w:r w:rsidR="007B7A4C">
        <w:rPr>
          <w:rFonts w:ascii="Times New Roman" w:hAnsi="Times New Roman"/>
          <w:sz w:val="24"/>
          <w:szCs w:val="24"/>
        </w:rPr>
        <w:t>their</w:t>
      </w:r>
      <w:r w:rsidR="0027704B">
        <w:rPr>
          <w:rFonts w:ascii="Times New Roman" w:hAnsi="Times New Roman"/>
          <w:sz w:val="24"/>
          <w:szCs w:val="24"/>
        </w:rPr>
        <w:t xml:space="preserve"> petition</w:t>
      </w:r>
      <w:r w:rsidR="00FA5712">
        <w:rPr>
          <w:rFonts w:ascii="Times New Roman" w:hAnsi="Times New Roman"/>
          <w:sz w:val="24"/>
          <w:szCs w:val="24"/>
        </w:rPr>
        <w:t>, petitioner</w:t>
      </w:r>
      <w:r w:rsidR="00906CAE">
        <w:rPr>
          <w:rFonts w:ascii="Times New Roman" w:hAnsi="Times New Roman"/>
          <w:sz w:val="24"/>
          <w:szCs w:val="24"/>
        </w:rPr>
        <w:t>s</w:t>
      </w:r>
      <w:r w:rsidR="00FA5712">
        <w:rPr>
          <w:rFonts w:ascii="Times New Roman" w:hAnsi="Times New Roman"/>
          <w:sz w:val="24"/>
          <w:szCs w:val="24"/>
        </w:rPr>
        <w:t xml:space="preserve"> challenged </w:t>
      </w:r>
      <w:r w:rsidR="00FA5712" w:rsidRPr="00C92ABE">
        <w:rPr>
          <w:rFonts w:ascii="Times New Roman" w:hAnsi="Times New Roman"/>
          <w:sz w:val="24"/>
          <w:szCs w:val="24"/>
        </w:rPr>
        <w:t>notice</w:t>
      </w:r>
      <w:r w:rsidR="00FA5712">
        <w:rPr>
          <w:rFonts w:ascii="Times New Roman" w:hAnsi="Times New Roman"/>
          <w:sz w:val="24"/>
          <w:szCs w:val="24"/>
        </w:rPr>
        <w:t xml:space="preserve"> L-04</w:t>
      </w:r>
      <w:r w:rsidR="00906CAE">
        <w:rPr>
          <w:rFonts w:ascii="Times New Roman" w:hAnsi="Times New Roman"/>
          <w:sz w:val="24"/>
          <w:szCs w:val="24"/>
        </w:rPr>
        <w:t>8713107-2</w:t>
      </w:r>
      <w:r w:rsidR="00FA5712">
        <w:rPr>
          <w:rFonts w:ascii="Times New Roman" w:hAnsi="Times New Roman"/>
          <w:sz w:val="24"/>
          <w:szCs w:val="24"/>
        </w:rPr>
        <w:t xml:space="preserve"> and alleged that </w:t>
      </w:r>
      <w:r w:rsidR="00F61713">
        <w:rPr>
          <w:rFonts w:ascii="Times New Roman" w:hAnsi="Times New Roman"/>
          <w:sz w:val="24"/>
          <w:szCs w:val="24"/>
        </w:rPr>
        <w:t>t</w:t>
      </w:r>
      <w:r w:rsidR="00FA5712">
        <w:rPr>
          <w:rFonts w:ascii="Times New Roman" w:hAnsi="Times New Roman"/>
          <w:sz w:val="24"/>
          <w:szCs w:val="24"/>
        </w:rPr>
        <w:t>he</w:t>
      </w:r>
      <w:r w:rsidR="00F61713">
        <w:rPr>
          <w:rFonts w:ascii="Times New Roman" w:hAnsi="Times New Roman"/>
          <w:sz w:val="24"/>
          <w:szCs w:val="24"/>
        </w:rPr>
        <w:t>y</w:t>
      </w:r>
      <w:r w:rsidR="00FA5712">
        <w:rPr>
          <w:rFonts w:ascii="Times New Roman" w:hAnsi="Times New Roman"/>
          <w:sz w:val="24"/>
          <w:szCs w:val="24"/>
        </w:rPr>
        <w:t xml:space="preserve"> submitted documents with the requests to BCMS, but </w:t>
      </w:r>
      <w:r w:rsidR="00F61713">
        <w:rPr>
          <w:rFonts w:ascii="Times New Roman" w:hAnsi="Times New Roman"/>
          <w:sz w:val="24"/>
          <w:szCs w:val="24"/>
        </w:rPr>
        <w:t>BCMS</w:t>
      </w:r>
      <w:r w:rsidR="00FA5712">
        <w:rPr>
          <w:rFonts w:ascii="Times New Roman" w:hAnsi="Times New Roman"/>
          <w:sz w:val="24"/>
          <w:szCs w:val="24"/>
        </w:rPr>
        <w:t xml:space="preserve"> never responded to </w:t>
      </w:r>
      <w:r w:rsidR="00F61713">
        <w:rPr>
          <w:rFonts w:ascii="Times New Roman" w:hAnsi="Times New Roman"/>
          <w:sz w:val="24"/>
          <w:szCs w:val="24"/>
        </w:rPr>
        <w:t>them</w:t>
      </w:r>
      <w:r w:rsidR="00FA5712">
        <w:rPr>
          <w:rFonts w:ascii="Times New Roman" w:hAnsi="Times New Roman"/>
          <w:sz w:val="24"/>
          <w:szCs w:val="24"/>
        </w:rPr>
        <w:t xml:space="preserve"> or </w:t>
      </w:r>
      <w:r w:rsidR="00F61713">
        <w:rPr>
          <w:rFonts w:ascii="Times New Roman" w:hAnsi="Times New Roman"/>
          <w:sz w:val="24"/>
          <w:szCs w:val="24"/>
        </w:rPr>
        <w:t>their</w:t>
      </w:r>
      <w:r w:rsidR="00FA5712">
        <w:rPr>
          <w:rFonts w:ascii="Times New Roman" w:hAnsi="Times New Roman"/>
          <w:sz w:val="24"/>
          <w:szCs w:val="24"/>
        </w:rPr>
        <w:t xml:space="preserve"> tax preparer.  Petitioner</w:t>
      </w:r>
      <w:r w:rsidR="007531EB">
        <w:rPr>
          <w:rFonts w:ascii="Times New Roman" w:hAnsi="Times New Roman"/>
          <w:sz w:val="24"/>
          <w:szCs w:val="24"/>
        </w:rPr>
        <w:t>s</w:t>
      </w:r>
      <w:r w:rsidR="00FA5712">
        <w:rPr>
          <w:rFonts w:ascii="Times New Roman" w:hAnsi="Times New Roman"/>
          <w:sz w:val="24"/>
          <w:szCs w:val="24"/>
        </w:rPr>
        <w:t xml:space="preserve"> also alleged </w:t>
      </w:r>
      <w:r w:rsidR="00A262CE">
        <w:rPr>
          <w:rFonts w:ascii="Times New Roman" w:hAnsi="Times New Roman"/>
          <w:sz w:val="24"/>
          <w:szCs w:val="24"/>
        </w:rPr>
        <w:t>t</w:t>
      </w:r>
      <w:r w:rsidR="00FA5712">
        <w:rPr>
          <w:rFonts w:ascii="Times New Roman" w:hAnsi="Times New Roman"/>
          <w:sz w:val="24"/>
          <w:szCs w:val="24"/>
        </w:rPr>
        <w:t xml:space="preserve">hat </w:t>
      </w:r>
      <w:r w:rsidR="007531EB">
        <w:rPr>
          <w:rFonts w:ascii="Times New Roman" w:hAnsi="Times New Roman"/>
          <w:sz w:val="24"/>
          <w:szCs w:val="24"/>
        </w:rPr>
        <w:t>t</w:t>
      </w:r>
      <w:r w:rsidR="00FA5712">
        <w:rPr>
          <w:rFonts w:ascii="Times New Roman" w:hAnsi="Times New Roman"/>
          <w:sz w:val="24"/>
          <w:szCs w:val="24"/>
        </w:rPr>
        <w:t>he</w:t>
      </w:r>
      <w:r w:rsidR="007531EB">
        <w:rPr>
          <w:rFonts w:ascii="Times New Roman" w:hAnsi="Times New Roman"/>
          <w:sz w:val="24"/>
          <w:szCs w:val="24"/>
        </w:rPr>
        <w:t>y</w:t>
      </w:r>
      <w:r w:rsidR="00FA5712">
        <w:rPr>
          <w:rFonts w:ascii="Times New Roman" w:hAnsi="Times New Roman"/>
          <w:sz w:val="24"/>
          <w:szCs w:val="24"/>
        </w:rPr>
        <w:t xml:space="preserve"> provided documents showing </w:t>
      </w:r>
      <w:r w:rsidR="007531EB">
        <w:rPr>
          <w:rFonts w:ascii="Times New Roman" w:hAnsi="Times New Roman"/>
          <w:sz w:val="24"/>
          <w:szCs w:val="24"/>
        </w:rPr>
        <w:t>their</w:t>
      </w:r>
      <w:r w:rsidR="00FA5712">
        <w:rPr>
          <w:rFonts w:ascii="Times New Roman" w:hAnsi="Times New Roman"/>
          <w:sz w:val="24"/>
          <w:szCs w:val="24"/>
        </w:rPr>
        <w:t xml:space="preserve"> income, children’s birth certificates, letters from </w:t>
      </w:r>
      <w:r w:rsidR="007531EB">
        <w:rPr>
          <w:rFonts w:ascii="Times New Roman" w:hAnsi="Times New Roman"/>
          <w:sz w:val="24"/>
          <w:szCs w:val="24"/>
        </w:rPr>
        <w:t>their</w:t>
      </w:r>
      <w:r w:rsidR="00FA5712">
        <w:rPr>
          <w:rFonts w:ascii="Times New Roman" w:hAnsi="Times New Roman"/>
          <w:sz w:val="24"/>
          <w:szCs w:val="24"/>
        </w:rPr>
        <w:t xml:space="preserve"> doctor</w:t>
      </w:r>
      <w:r w:rsidR="00A83732">
        <w:rPr>
          <w:rFonts w:ascii="Times New Roman" w:hAnsi="Times New Roman"/>
          <w:sz w:val="24"/>
          <w:szCs w:val="24"/>
        </w:rPr>
        <w:t>,</w:t>
      </w:r>
      <w:r w:rsidR="00FA5712">
        <w:rPr>
          <w:rFonts w:ascii="Times New Roman" w:hAnsi="Times New Roman"/>
          <w:sz w:val="24"/>
          <w:szCs w:val="24"/>
        </w:rPr>
        <w:t xml:space="preserve"> and </w:t>
      </w:r>
      <w:r w:rsidR="00A83732">
        <w:rPr>
          <w:rFonts w:ascii="Times New Roman" w:hAnsi="Times New Roman"/>
          <w:sz w:val="24"/>
          <w:szCs w:val="24"/>
        </w:rPr>
        <w:t xml:space="preserve">letters from </w:t>
      </w:r>
      <w:r w:rsidR="007531EB">
        <w:rPr>
          <w:rFonts w:ascii="Times New Roman" w:hAnsi="Times New Roman"/>
          <w:sz w:val="24"/>
          <w:szCs w:val="24"/>
        </w:rPr>
        <w:t>their</w:t>
      </w:r>
      <w:r w:rsidR="00FA5712">
        <w:rPr>
          <w:rFonts w:ascii="Times New Roman" w:hAnsi="Times New Roman"/>
          <w:sz w:val="24"/>
          <w:szCs w:val="24"/>
        </w:rPr>
        <w:t xml:space="preserve"> children’s school</w:t>
      </w:r>
      <w:r w:rsidR="00A83732">
        <w:rPr>
          <w:rFonts w:ascii="Times New Roman" w:hAnsi="Times New Roman"/>
          <w:sz w:val="24"/>
          <w:szCs w:val="24"/>
        </w:rPr>
        <w:t>,</w:t>
      </w:r>
      <w:r w:rsidR="00FA5712">
        <w:rPr>
          <w:rFonts w:ascii="Times New Roman" w:hAnsi="Times New Roman"/>
          <w:sz w:val="24"/>
          <w:szCs w:val="24"/>
        </w:rPr>
        <w:t xml:space="preserve"> confirming that they are patients of the doctor and enrolled in school</w:t>
      </w:r>
      <w:r w:rsidR="00A83732">
        <w:rPr>
          <w:rFonts w:ascii="Times New Roman" w:hAnsi="Times New Roman"/>
          <w:sz w:val="24"/>
          <w:szCs w:val="24"/>
        </w:rPr>
        <w:t>.</w:t>
      </w:r>
      <w:r w:rsidR="00FA5712">
        <w:rPr>
          <w:rFonts w:ascii="Times New Roman" w:hAnsi="Times New Roman"/>
          <w:sz w:val="24"/>
          <w:szCs w:val="24"/>
        </w:rPr>
        <w:t xml:space="preserve"> </w:t>
      </w:r>
      <w:r w:rsidR="004875F1">
        <w:rPr>
          <w:rFonts w:ascii="Times New Roman" w:hAnsi="Times New Roman"/>
          <w:sz w:val="24"/>
          <w:szCs w:val="24"/>
        </w:rPr>
        <w:t xml:space="preserve"> </w:t>
      </w:r>
      <w:r w:rsidR="00AE59B6">
        <w:rPr>
          <w:rFonts w:ascii="Times New Roman" w:hAnsi="Times New Roman"/>
          <w:sz w:val="24"/>
          <w:szCs w:val="24"/>
        </w:rPr>
        <w:t xml:space="preserve">Petitioners attached </w:t>
      </w:r>
      <w:r w:rsidR="00192EFD">
        <w:rPr>
          <w:rFonts w:ascii="Times New Roman" w:hAnsi="Times New Roman"/>
          <w:sz w:val="24"/>
          <w:szCs w:val="24"/>
        </w:rPr>
        <w:t xml:space="preserve">to their petition </w:t>
      </w:r>
      <w:r w:rsidR="00AE59B6">
        <w:rPr>
          <w:rFonts w:ascii="Times New Roman" w:hAnsi="Times New Roman"/>
          <w:sz w:val="24"/>
          <w:szCs w:val="24"/>
        </w:rPr>
        <w:t xml:space="preserve">a copy of a request for conciliation conference for </w:t>
      </w:r>
      <w:r w:rsidR="00AE59B6">
        <w:rPr>
          <w:rFonts w:ascii="Times New Roman" w:hAnsi="Times New Roman"/>
          <w:sz w:val="24"/>
          <w:szCs w:val="24"/>
        </w:rPr>
        <w:lastRenderedPageBreak/>
        <w:t>notice L-048713107-2 dated October 22, 2018, 18 days before the notice of deficiency was issued.</w:t>
      </w:r>
    </w:p>
    <w:p w14:paraId="4E181E5A" w14:textId="241BFCC3" w:rsidR="00FF30FE" w:rsidRDefault="004C1EDE" w:rsidP="004D2833">
      <w:pPr>
        <w:pStyle w:val="ListParagraph"/>
        <w:numPr>
          <w:ilvl w:val="0"/>
          <w:numId w:val="7"/>
        </w:numPr>
        <w:spacing w:after="0" w:line="480" w:lineRule="auto"/>
        <w:ind w:left="0" w:firstLine="720"/>
        <w:rPr>
          <w:rFonts w:ascii="Times New Roman" w:hAnsi="Times New Roman"/>
          <w:sz w:val="24"/>
          <w:szCs w:val="24"/>
        </w:rPr>
      </w:pPr>
      <w:r>
        <w:rPr>
          <w:rFonts w:ascii="Times New Roman" w:hAnsi="Times New Roman"/>
          <w:sz w:val="24"/>
          <w:szCs w:val="24"/>
        </w:rPr>
        <w:t xml:space="preserve">  On</w:t>
      </w:r>
      <w:r w:rsidR="0087567F">
        <w:rPr>
          <w:rFonts w:ascii="Times New Roman" w:hAnsi="Times New Roman"/>
          <w:sz w:val="24"/>
          <w:szCs w:val="24"/>
        </w:rPr>
        <w:t xml:space="preserve"> December </w:t>
      </w:r>
      <w:r w:rsidR="00D67A08">
        <w:rPr>
          <w:rFonts w:ascii="Times New Roman" w:hAnsi="Times New Roman"/>
          <w:sz w:val="24"/>
          <w:szCs w:val="24"/>
        </w:rPr>
        <w:t>4,</w:t>
      </w:r>
      <w:r w:rsidR="0087567F">
        <w:rPr>
          <w:rFonts w:ascii="Times New Roman" w:hAnsi="Times New Roman"/>
          <w:sz w:val="24"/>
          <w:szCs w:val="24"/>
        </w:rPr>
        <w:t xml:space="preserve"> 2</w:t>
      </w:r>
      <w:r w:rsidR="009A4423">
        <w:rPr>
          <w:rFonts w:ascii="Times New Roman" w:hAnsi="Times New Roman"/>
          <w:sz w:val="24"/>
          <w:szCs w:val="24"/>
        </w:rPr>
        <w:t>0</w:t>
      </w:r>
      <w:r w:rsidR="00E61948">
        <w:rPr>
          <w:rFonts w:ascii="Times New Roman" w:hAnsi="Times New Roman"/>
          <w:sz w:val="24"/>
          <w:szCs w:val="24"/>
        </w:rPr>
        <w:t>19</w:t>
      </w:r>
      <w:r w:rsidR="009A4423">
        <w:rPr>
          <w:rFonts w:ascii="Times New Roman" w:hAnsi="Times New Roman"/>
          <w:sz w:val="24"/>
          <w:szCs w:val="24"/>
        </w:rPr>
        <w:t>, the Division filed its answer to the petition, affirmatively alleging, among other things, that petitioners</w:t>
      </w:r>
      <w:r w:rsidR="00D67A08">
        <w:rPr>
          <w:rFonts w:ascii="Times New Roman" w:hAnsi="Times New Roman"/>
          <w:sz w:val="24"/>
          <w:szCs w:val="24"/>
        </w:rPr>
        <w:t>’</w:t>
      </w:r>
      <w:r w:rsidR="009A3B0E">
        <w:rPr>
          <w:rFonts w:ascii="Times New Roman" w:hAnsi="Times New Roman"/>
          <w:sz w:val="24"/>
          <w:szCs w:val="24"/>
        </w:rPr>
        <w:t xml:space="preserve"> challenge to notice L-04</w:t>
      </w:r>
      <w:r w:rsidR="00D67A08">
        <w:rPr>
          <w:rFonts w:ascii="Times New Roman" w:hAnsi="Times New Roman"/>
          <w:sz w:val="24"/>
          <w:szCs w:val="24"/>
        </w:rPr>
        <w:t>8713107-2</w:t>
      </w:r>
      <w:r w:rsidR="009A3B0E">
        <w:rPr>
          <w:rFonts w:ascii="Times New Roman" w:hAnsi="Times New Roman"/>
          <w:sz w:val="24"/>
          <w:szCs w:val="24"/>
        </w:rPr>
        <w:t xml:space="preserve"> was untimely because </w:t>
      </w:r>
      <w:r w:rsidR="003B125C">
        <w:rPr>
          <w:rFonts w:ascii="Times New Roman" w:hAnsi="Times New Roman"/>
          <w:sz w:val="24"/>
          <w:szCs w:val="24"/>
        </w:rPr>
        <w:t>they</w:t>
      </w:r>
      <w:r w:rsidR="009A3B0E">
        <w:rPr>
          <w:rFonts w:ascii="Times New Roman" w:hAnsi="Times New Roman"/>
          <w:sz w:val="24"/>
          <w:szCs w:val="24"/>
        </w:rPr>
        <w:t xml:space="preserve"> failed to file a request for a conference with BCMS or a petition with the Division of Tax Appeals within 90 days of its issuance.</w:t>
      </w:r>
    </w:p>
    <w:p w14:paraId="6B136911" w14:textId="61F2B869" w:rsidR="009D64FF" w:rsidRDefault="009D64FF" w:rsidP="004D2833">
      <w:pPr>
        <w:pStyle w:val="ListParagraph"/>
        <w:numPr>
          <w:ilvl w:val="0"/>
          <w:numId w:val="7"/>
        </w:numPr>
        <w:spacing w:after="0" w:line="480" w:lineRule="auto"/>
        <w:ind w:left="0" w:firstLine="720"/>
        <w:rPr>
          <w:rFonts w:ascii="Times New Roman" w:hAnsi="Times New Roman"/>
          <w:sz w:val="24"/>
          <w:szCs w:val="24"/>
        </w:rPr>
      </w:pPr>
      <w:r>
        <w:rPr>
          <w:rFonts w:ascii="Times New Roman" w:hAnsi="Times New Roman"/>
          <w:sz w:val="24"/>
          <w:szCs w:val="24"/>
        </w:rPr>
        <w:t xml:space="preserve">  On </w:t>
      </w:r>
      <w:r w:rsidR="00B675DB">
        <w:rPr>
          <w:rFonts w:ascii="Times New Roman" w:hAnsi="Times New Roman"/>
          <w:sz w:val="24"/>
          <w:szCs w:val="24"/>
        </w:rPr>
        <w:t>March 27</w:t>
      </w:r>
      <w:r>
        <w:rPr>
          <w:rFonts w:ascii="Times New Roman" w:hAnsi="Times New Roman"/>
          <w:sz w:val="24"/>
          <w:szCs w:val="24"/>
        </w:rPr>
        <w:t xml:space="preserve">, 2020, the Division filed a motion seeking the dismissal of the petition, or, in the alternative, granting summary determination pursuant to 20 NYCRR 3000.5, 3000.9 (a) and 3000.9 (b) of the Rules of Practice and Procedure of the Tax Appeals Tribunal.  In support of the motion, the Division provided the following documents: (i) an affidavit of </w:t>
      </w:r>
      <w:r w:rsidR="00B675DB">
        <w:rPr>
          <w:rFonts w:ascii="Times New Roman" w:hAnsi="Times New Roman"/>
          <w:sz w:val="24"/>
          <w:szCs w:val="24"/>
        </w:rPr>
        <w:t>Mary Hurteau</w:t>
      </w:r>
      <w:r>
        <w:rPr>
          <w:rFonts w:ascii="Times New Roman" w:hAnsi="Times New Roman"/>
          <w:sz w:val="24"/>
          <w:szCs w:val="24"/>
        </w:rPr>
        <w:t xml:space="preserve">, Esq., sworn to on </w:t>
      </w:r>
      <w:r w:rsidR="00B675DB">
        <w:rPr>
          <w:rFonts w:ascii="Times New Roman" w:hAnsi="Times New Roman"/>
          <w:sz w:val="24"/>
          <w:szCs w:val="24"/>
        </w:rPr>
        <w:t>March 27</w:t>
      </w:r>
      <w:r w:rsidR="002D156F">
        <w:rPr>
          <w:rFonts w:ascii="Times New Roman" w:hAnsi="Times New Roman"/>
          <w:sz w:val="24"/>
          <w:szCs w:val="24"/>
        </w:rPr>
        <w:t xml:space="preserve">, 2020; (ii) an affidavit of Deena Picard, sworn to on </w:t>
      </w:r>
      <w:r w:rsidR="00B675DB">
        <w:rPr>
          <w:rFonts w:ascii="Times New Roman" w:hAnsi="Times New Roman"/>
          <w:sz w:val="24"/>
          <w:szCs w:val="24"/>
        </w:rPr>
        <w:t>February 26</w:t>
      </w:r>
      <w:r w:rsidR="002D156F">
        <w:rPr>
          <w:rFonts w:ascii="Times New Roman" w:hAnsi="Times New Roman"/>
          <w:sz w:val="24"/>
          <w:szCs w:val="24"/>
        </w:rPr>
        <w:t xml:space="preserve">, 2020; </w:t>
      </w:r>
      <w:r w:rsidR="00E46D82">
        <w:rPr>
          <w:rFonts w:ascii="Times New Roman" w:hAnsi="Times New Roman"/>
          <w:sz w:val="24"/>
          <w:szCs w:val="24"/>
        </w:rPr>
        <w:t xml:space="preserve">(iii) </w:t>
      </w:r>
      <w:r w:rsidR="002D156F">
        <w:rPr>
          <w:rFonts w:ascii="Times New Roman" w:hAnsi="Times New Roman"/>
          <w:sz w:val="24"/>
          <w:szCs w:val="24"/>
        </w:rPr>
        <w:t xml:space="preserve">a </w:t>
      </w:r>
      <w:r w:rsidR="00BC1513">
        <w:rPr>
          <w:rFonts w:ascii="Times New Roman" w:hAnsi="Times New Roman"/>
          <w:sz w:val="24"/>
          <w:szCs w:val="24"/>
        </w:rPr>
        <w:t xml:space="preserve">certified mail record (CMR) entitled </w:t>
      </w:r>
      <w:r w:rsidR="002D156F">
        <w:rPr>
          <w:rFonts w:ascii="Times New Roman" w:hAnsi="Times New Roman"/>
          <w:sz w:val="24"/>
          <w:szCs w:val="24"/>
        </w:rPr>
        <w:t xml:space="preserve">“Certified Record for – DTA-962-F-E – Not of Def Follow Up” postmarked </w:t>
      </w:r>
      <w:r w:rsidR="00B675DB">
        <w:rPr>
          <w:rFonts w:ascii="Times New Roman" w:hAnsi="Times New Roman"/>
          <w:sz w:val="24"/>
          <w:szCs w:val="24"/>
        </w:rPr>
        <w:t>November 9</w:t>
      </w:r>
      <w:r w:rsidR="002D156F">
        <w:rPr>
          <w:rFonts w:ascii="Times New Roman" w:hAnsi="Times New Roman"/>
          <w:sz w:val="24"/>
          <w:szCs w:val="24"/>
        </w:rPr>
        <w:t>, 201</w:t>
      </w:r>
      <w:r w:rsidR="00B675DB">
        <w:rPr>
          <w:rFonts w:ascii="Times New Roman" w:hAnsi="Times New Roman"/>
          <w:sz w:val="24"/>
          <w:szCs w:val="24"/>
        </w:rPr>
        <w:t>8</w:t>
      </w:r>
      <w:r w:rsidR="002D156F">
        <w:rPr>
          <w:rFonts w:ascii="Times New Roman" w:hAnsi="Times New Roman"/>
          <w:sz w:val="24"/>
          <w:szCs w:val="24"/>
        </w:rPr>
        <w:t>; (iv) a copy of notice L-0</w:t>
      </w:r>
      <w:r w:rsidR="002F48A2">
        <w:rPr>
          <w:rFonts w:ascii="Times New Roman" w:hAnsi="Times New Roman"/>
          <w:sz w:val="24"/>
          <w:szCs w:val="24"/>
        </w:rPr>
        <w:t>48713107-2</w:t>
      </w:r>
      <w:r w:rsidR="002D156F">
        <w:rPr>
          <w:rFonts w:ascii="Times New Roman" w:hAnsi="Times New Roman"/>
          <w:sz w:val="24"/>
          <w:szCs w:val="24"/>
        </w:rPr>
        <w:t xml:space="preserve"> </w:t>
      </w:r>
      <w:r w:rsidR="002D156F" w:rsidRPr="009C34BF">
        <w:rPr>
          <w:rFonts w:ascii="Times New Roman" w:hAnsi="Times New Roman"/>
          <w:sz w:val="24"/>
          <w:szCs w:val="24"/>
        </w:rPr>
        <w:t>with</w:t>
      </w:r>
      <w:r w:rsidR="002D156F">
        <w:rPr>
          <w:rFonts w:ascii="Times New Roman" w:hAnsi="Times New Roman"/>
          <w:sz w:val="24"/>
          <w:szCs w:val="24"/>
        </w:rPr>
        <w:t xml:space="preserve"> </w:t>
      </w:r>
      <w:r w:rsidR="007F2BA2">
        <w:rPr>
          <w:rFonts w:ascii="Times New Roman" w:hAnsi="Times New Roman"/>
          <w:sz w:val="24"/>
          <w:szCs w:val="24"/>
        </w:rPr>
        <w:t>its</w:t>
      </w:r>
      <w:r w:rsidR="002D156F">
        <w:rPr>
          <w:rFonts w:ascii="Times New Roman" w:hAnsi="Times New Roman"/>
          <w:sz w:val="24"/>
          <w:szCs w:val="24"/>
        </w:rPr>
        <w:t xml:space="preserve"> associated mailing cover sheet</w:t>
      </w:r>
      <w:r w:rsidR="009C34BF">
        <w:rPr>
          <w:rFonts w:ascii="Times New Roman" w:hAnsi="Times New Roman"/>
          <w:sz w:val="24"/>
          <w:szCs w:val="24"/>
        </w:rPr>
        <w:t>; (v)</w:t>
      </w:r>
      <w:r w:rsidR="000A0E71">
        <w:rPr>
          <w:rFonts w:ascii="Times New Roman" w:hAnsi="Times New Roman"/>
          <w:sz w:val="24"/>
          <w:szCs w:val="24"/>
        </w:rPr>
        <w:t xml:space="preserve"> an affidavit of </w:t>
      </w:r>
      <w:r w:rsidR="002F48A2">
        <w:rPr>
          <w:rFonts w:ascii="Times New Roman" w:hAnsi="Times New Roman"/>
          <w:sz w:val="24"/>
          <w:szCs w:val="24"/>
        </w:rPr>
        <w:t>Susan Saccocio</w:t>
      </w:r>
      <w:r w:rsidR="000A0E71">
        <w:rPr>
          <w:rFonts w:ascii="Times New Roman" w:hAnsi="Times New Roman"/>
          <w:sz w:val="24"/>
          <w:szCs w:val="24"/>
        </w:rPr>
        <w:t xml:space="preserve">, sworn to on February </w:t>
      </w:r>
      <w:r w:rsidR="002F48A2">
        <w:rPr>
          <w:rFonts w:ascii="Times New Roman" w:hAnsi="Times New Roman"/>
          <w:sz w:val="24"/>
          <w:szCs w:val="24"/>
        </w:rPr>
        <w:t>28</w:t>
      </w:r>
      <w:r w:rsidR="000A0E71">
        <w:rPr>
          <w:rFonts w:ascii="Times New Roman" w:hAnsi="Times New Roman"/>
          <w:sz w:val="24"/>
          <w:szCs w:val="24"/>
        </w:rPr>
        <w:t>, 2020; (vi) a copy of the first page of petitioners</w:t>
      </w:r>
      <w:r w:rsidR="00466100">
        <w:rPr>
          <w:rFonts w:ascii="Times New Roman" w:hAnsi="Times New Roman"/>
          <w:sz w:val="24"/>
          <w:szCs w:val="24"/>
        </w:rPr>
        <w:t>’</w:t>
      </w:r>
      <w:r w:rsidR="000A0E71">
        <w:rPr>
          <w:rFonts w:ascii="Times New Roman" w:hAnsi="Times New Roman"/>
          <w:sz w:val="24"/>
          <w:szCs w:val="24"/>
        </w:rPr>
        <w:t xml:space="preserve"> request for conciliation conference</w:t>
      </w:r>
      <w:r w:rsidR="00F60050">
        <w:rPr>
          <w:rFonts w:ascii="Times New Roman" w:hAnsi="Times New Roman"/>
          <w:sz w:val="24"/>
          <w:szCs w:val="24"/>
        </w:rPr>
        <w:t xml:space="preserve"> for notice L-04</w:t>
      </w:r>
      <w:r w:rsidR="002F48A2">
        <w:rPr>
          <w:rFonts w:ascii="Times New Roman" w:hAnsi="Times New Roman"/>
          <w:sz w:val="24"/>
          <w:szCs w:val="24"/>
        </w:rPr>
        <w:t>8713107-2</w:t>
      </w:r>
      <w:r w:rsidR="00F60050">
        <w:rPr>
          <w:rFonts w:ascii="Times New Roman" w:hAnsi="Times New Roman"/>
          <w:sz w:val="24"/>
          <w:szCs w:val="24"/>
        </w:rPr>
        <w:t>,</w:t>
      </w:r>
      <w:r w:rsidR="000A0E71">
        <w:rPr>
          <w:rFonts w:ascii="Times New Roman" w:hAnsi="Times New Roman"/>
          <w:sz w:val="24"/>
          <w:szCs w:val="24"/>
        </w:rPr>
        <w:t xml:space="preserve"> dated August </w:t>
      </w:r>
      <w:r w:rsidR="002F48A2">
        <w:rPr>
          <w:rFonts w:ascii="Times New Roman" w:hAnsi="Times New Roman"/>
          <w:sz w:val="24"/>
          <w:szCs w:val="24"/>
        </w:rPr>
        <w:t>1</w:t>
      </w:r>
      <w:r w:rsidR="000A0E71">
        <w:rPr>
          <w:rFonts w:ascii="Times New Roman" w:hAnsi="Times New Roman"/>
          <w:sz w:val="24"/>
          <w:szCs w:val="24"/>
        </w:rPr>
        <w:t>5, 2019</w:t>
      </w:r>
      <w:r w:rsidR="00F60050">
        <w:rPr>
          <w:rFonts w:ascii="Times New Roman" w:hAnsi="Times New Roman"/>
          <w:sz w:val="24"/>
          <w:szCs w:val="24"/>
        </w:rPr>
        <w:t>; (vii) a copy of the conciliation order dismissing request for notice L-0</w:t>
      </w:r>
      <w:r w:rsidR="002F48A2">
        <w:rPr>
          <w:rFonts w:ascii="Times New Roman" w:hAnsi="Times New Roman"/>
          <w:sz w:val="24"/>
          <w:szCs w:val="24"/>
        </w:rPr>
        <w:t>48713107-2</w:t>
      </w:r>
      <w:r w:rsidR="00F60050">
        <w:rPr>
          <w:rFonts w:ascii="Times New Roman" w:hAnsi="Times New Roman"/>
          <w:sz w:val="24"/>
          <w:szCs w:val="24"/>
        </w:rPr>
        <w:t>; and (viii) a copy of petitioners</w:t>
      </w:r>
      <w:r w:rsidR="002F48A2">
        <w:rPr>
          <w:rFonts w:ascii="Times New Roman" w:hAnsi="Times New Roman"/>
          <w:sz w:val="24"/>
          <w:szCs w:val="24"/>
        </w:rPr>
        <w:t>’</w:t>
      </w:r>
      <w:r w:rsidR="007B0076">
        <w:rPr>
          <w:rFonts w:ascii="Times New Roman" w:hAnsi="Times New Roman"/>
          <w:sz w:val="24"/>
          <w:szCs w:val="24"/>
        </w:rPr>
        <w:t xml:space="preserve"> 201</w:t>
      </w:r>
      <w:r w:rsidR="002F48A2">
        <w:rPr>
          <w:rFonts w:ascii="Times New Roman" w:hAnsi="Times New Roman"/>
          <w:sz w:val="24"/>
          <w:szCs w:val="24"/>
        </w:rPr>
        <w:t>7</w:t>
      </w:r>
      <w:r w:rsidR="007B0076">
        <w:rPr>
          <w:rFonts w:ascii="Times New Roman" w:hAnsi="Times New Roman"/>
          <w:sz w:val="24"/>
          <w:szCs w:val="24"/>
        </w:rPr>
        <w:t xml:space="preserve"> return</w:t>
      </w:r>
      <w:r w:rsidR="00E46D82">
        <w:rPr>
          <w:rFonts w:ascii="Times New Roman" w:hAnsi="Times New Roman"/>
          <w:sz w:val="24"/>
          <w:szCs w:val="24"/>
        </w:rPr>
        <w:t>.</w:t>
      </w:r>
      <w:r w:rsidR="00F60050">
        <w:rPr>
          <w:rFonts w:ascii="Times New Roman" w:hAnsi="Times New Roman"/>
          <w:sz w:val="24"/>
          <w:szCs w:val="24"/>
        </w:rPr>
        <w:t xml:space="preserve"> </w:t>
      </w:r>
    </w:p>
    <w:p w14:paraId="207F959E" w14:textId="3AC8B87F" w:rsidR="001C73A3" w:rsidRDefault="001C73A3" w:rsidP="004D2833">
      <w:pPr>
        <w:pStyle w:val="ListParagraph"/>
        <w:numPr>
          <w:ilvl w:val="0"/>
          <w:numId w:val="7"/>
        </w:numPr>
        <w:spacing w:after="0" w:line="480" w:lineRule="auto"/>
        <w:ind w:left="0" w:firstLine="720"/>
        <w:rPr>
          <w:rFonts w:ascii="Times New Roman" w:hAnsi="Times New Roman"/>
          <w:sz w:val="24"/>
          <w:szCs w:val="24"/>
        </w:rPr>
      </w:pPr>
      <w:r>
        <w:rPr>
          <w:rFonts w:ascii="Times New Roman" w:hAnsi="Times New Roman"/>
          <w:sz w:val="24"/>
          <w:szCs w:val="24"/>
        </w:rPr>
        <w:t xml:space="preserve">  </w:t>
      </w:r>
      <w:r w:rsidR="00B71406">
        <w:rPr>
          <w:rFonts w:ascii="Times New Roman" w:hAnsi="Times New Roman"/>
          <w:sz w:val="24"/>
          <w:szCs w:val="24"/>
        </w:rPr>
        <w:t>Mary Hurteau</w:t>
      </w:r>
      <w:r w:rsidR="005F6F00">
        <w:rPr>
          <w:rFonts w:ascii="Times New Roman" w:hAnsi="Times New Roman"/>
          <w:sz w:val="24"/>
          <w:szCs w:val="24"/>
        </w:rPr>
        <w:t xml:space="preserve">, an attorney in the Office of Counsel of the Division, asserts </w:t>
      </w:r>
      <w:r w:rsidR="007B0076">
        <w:rPr>
          <w:rFonts w:ascii="Times New Roman" w:hAnsi="Times New Roman"/>
          <w:sz w:val="24"/>
          <w:szCs w:val="24"/>
        </w:rPr>
        <w:t>in h</w:t>
      </w:r>
      <w:r w:rsidR="00B71406">
        <w:rPr>
          <w:rFonts w:ascii="Times New Roman" w:hAnsi="Times New Roman"/>
          <w:sz w:val="24"/>
          <w:szCs w:val="24"/>
        </w:rPr>
        <w:t>er</w:t>
      </w:r>
      <w:r w:rsidR="007B0076">
        <w:rPr>
          <w:rFonts w:ascii="Times New Roman" w:hAnsi="Times New Roman"/>
          <w:sz w:val="24"/>
          <w:szCs w:val="24"/>
        </w:rPr>
        <w:t xml:space="preserve"> affidavit </w:t>
      </w:r>
      <w:r w:rsidR="005F6F00">
        <w:rPr>
          <w:rFonts w:ascii="Times New Roman" w:hAnsi="Times New Roman"/>
          <w:sz w:val="24"/>
          <w:szCs w:val="24"/>
        </w:rPr>
        <w:t>that petitioners</w:t>
      </w:r>
      <w:r w:rsidR="00CD5449">
        <w:rPr>
          <w:rFonts w:ascii="Times New Roman" w:hAnsi="Times New Roman"/>
          <w:sz w:val="24"/>
          <w:szCs w:val="24"/>
        </w:rPr>
        <w:t>’</w:t>
      </w:r>
      <w:r w:rsidR="005F6F00">
        <w:rPr>
          <w:rFonts w:ascii="Times New Roman" w:hAnsi="Times New Roman"/>
          <w:sz w:val="24"/>
          <w:szCs w:val="24"/>
        </w:rPr>
        <w:t xml:space="preserve"> 201</w:t>
      </w:r>
      <w:r w:rsidR="00CD5449">
        <w:rPr>
          <w:rFonts w:ascii="Times New Roman" w:hAnsi="Times New Roman"/>
          <w:sz w:val="24"/>
          <w:szCs w:val="24"/>
        </w:rPr>
        <w:t>7</w:t>
      </w:r>
      <w:r w:rsidR="005F6F00">
        <w:rPr>
          <w:rFonts w:ascii="Times New Roman" w:hAnsi="Times New Roman"/>
          <w:sz w:val="24"/>
          <w:szCs w:val="24"/>
        </w:rPr>
        <w:t xml:space="preserve"> return was filed on </w:t>
      </w:r>
      <w:r w:rsidR="00CD5449">
        <w:rPr>
          <w:rFonts w:ascii="Times New Roman" w:hAnsi="Times New Roman"/>
          <w:sz w:val="24"/>
          <w:szCs w:val="24"/>
        </w:rPr>
        <w:t>January 31, 2018</w:t>
      </w:r>
      <w:r w:rsidR="005F6F00">
        <w:rPr>
          <w:rFonts w:ascii="Times New Roman" w:hAnsi="Times New Roman"/>
          <w:sz w:val="24"/>
          <w:szCs w:val="24"/>
        </w:rPr>
        <w:t>, and that this was the last return filed before</w:t>
      </w:r>
      <w:r w:rsidR="0015013E">
        <w:rPr>
          <w:rFonts w:ascii="Times New Roman" w:hAnsi="Times New Roman"/>
          <w:sz w:val="24"/>
          <w:szCs w:val="24"/>
        </w:rPr>
        <w:t xml:space="preserve"> the Division issued notice</w:t>
      </w:r>
      <w:r w:rsidR="005F6F00">
        <w:rPr>
          <w:rFonts w:ascii="Times New Roman" w:hAnsi="Times New Roman"/>
          <w:sz w:val="24"/>
          <w:szCs w:val="24"/>
        </w:rPr>
        <w:t xml:space="preserve"> L-04</w:t>
      </w:r>
      <w:r w:rsidR="00CD5449">
        <w:rPr>
          <w:rFonts w:ascii="Times New Roman" w:hAnsi="Times New Roman"/>
          <w:sz w:val="24"/>
          <w:szCs w:val="24"/>
        </w:rPr>
        <w:t>8713107-2</w:t>
      </w:r>
      <w:r w:rsidR="00866903">
        <w:rPr>
          <w:rFonts w:ascii="Times New Roman" w:hAnsi="Times New Roman"/>
          <w:sz w:val="24"/>
          <w:szCs w:val="24"/>
        </w:rPr>
        <w:t>.</w:t>
      </w:r>
      <w:r w:rsidR="007B0076">
        <w:rPr>
          <w:rFonts w:ascii="Times New Roman" w:hAnsi="Times New Roman"/>
          <w:sz w:val="24"/>
          <w:szCs w:val="24"/>
        </w:rPr>
        <w:t xml:space="preserve">  </w:t>
      </w:r>
      <w:r w:rsidR="00CD5449">
        <w:rPr>
          <w:rFonts w:ascii="Times New Roman" w:hAnsi="Times New Roman"/>
          <w:sz w:val="24"/>
          <w:szCs w:val="24"/>
        </w:rPr>
        <w:t>Sh</w:t>
      </w:r>
      <w:r w:rsidR="007B0076">
        <w:rPr>
          <w:rFonts w:ascii="Times New Roman" w:hAnsi="Times New Roman"/>
          <w:sz w:val="24"/>
          <w:szCs w:val="24"/>
        </w:rPr>
        <w:t>e also avers that notice L-04</w:t>
      </w:r>
      <w:r w:rsidR="00CD5449">
        <w:rPr>
          <w:rFonts w:ascii="Times New Roman" w:hAnsi="Times New Roman"/>
          <w:sz w:val="24"/>
          <w:szCs w:val="24"/>
        </w:rPr>
        <w:t>8713107-2</w:t>
      </w:r>
      <w:r w:rsidR="007B0076">
        <w:rPr>
          <w:rFonts w:ascii="Times New Roman" w:hAnsi="Times New Roman"/>
          <w:sz w:val="24"/>
          <w:szCs w:val="24"/>
        </w:rPr>
        <w:t xml:space="preserve"> was issued</w:t>
      </w:r>
      <w:r w:rsidR="00AD384C">
        <w:rPr>
          <w:rFonts w:ascii="Times New Roman" w:hAnsi="Times New Roman"/>
          <w:sz w:val="24"/>
          <w:szCs w:val="24"/>
        </w:rPr>
        <w:t xml:space="preserve"> to</w:t>
      </w:r>
      <w:r w:rsidR="007B0076">
        <w:rPr>
          <w:rFonts w:ascii="Times New Roman" w:hAnsi="Times New Roman"/>
          <w:sz w:val="24"/>
          <w:szCs w:val="24"/>
        </w:rPr>
        <w:t xml:space="preserve"> </w:t>
      </w:r>
      <w:r w:rsidR="00CD5449">
        <w:rPr>
          <w:rFonts w:ascii="Times New Roman" w:hAnsi="Times New Roman"/>
          <w:sz w:val="24"/>
          <w:szCs w:val="24"/>
        </w:rPr>
        <w:t>petitioners’</w:t>
      </w:r>
      <w:r w:rsidR="007B0076">
        <w:rPr>
          <w:rFonts w:ascii="Times New Roman" w:hAnsi="Times New Roman"/>
          <w:sz w:val="24"/>
          <w:szCs w:val="24"/>
        </w:rPr>
        <w:t xml:space="preserve"> last known address </w:t>
      </w:r>
      <w:r w:rsidR="00AD384C">
        <w:rPr>
          <w:rFonts w:ascii="Times New Roman" w:hAnsi="Times New Roman"/>
          <w:sz w:val="24"/>
          <w:szCs w:val="24"/>
        </w:rPr>
        <w:t>in</w:t>
      </w:r>
      <w:r w:rsidR="007B0076">
        <w:rPr>
          <w:rFonts w:ascii="Times New Roman" w:hAnsi="Times New Roman"/>
          <w:sz w:val="24"/>
          <w:szCs w:val="24"/>
        </w:rPr>
        <w:t xml:space="preserve"> Brooklyn, N</w:t>
      </w:r>
      <w:r w:rsidR="003B125C">
        <w:rPr>
          <w:rFonts w:ascii="Times New Roman" w:hAnsi="Times New Roman"/>
          <w:sz w:val="24"/>
          <w:szCs w:val="24"/>
        </w:rPr>
        <w:t xml:space="preserve">ew </w:t>
      </w:r>
      <w:r w:rsidR="007B0076">
        <w:rPr>
          <w:rFonts w:ascii="Times New Roman" w:hAnsi="Times New Roman"/>
          <w:sz w:val="24"/>
          <w:szCs w:val="24"/>
        </w:rPr>
        <w:t>Y</w:t>
      </w:r>
      <w:r w:rsidR="003B125C">
        <w:rPr>
          <w:rFonts w:ascii="Times New Roman" w:hAnsi="Times New Roman"/>
          <w:sz w:val="24"/>
          <w:szCs w:val="24"/>
        </w:rPr>
        <w:t>ork</w:t>
      </w:r>
      <w:r w:rsidR="00AD384C">
        <w:rPr>
          <w:rFonts w:ascii="Times New Roman" w:hAnsi="Times New Roman"/>
          <w:sz w:val="24"/>
          <w:szCs w:val="24"/>
        </w:rPr>
        <w:t>.</w:t>
      </w:r>
    </w:p>
    <w:p w14:paraId="1DBDA5E8" w14:textId="22F97924" w:rsidR="00866903" w:rsidRDefault="00866903" w:rsidP="004D2833">
      <w:pPr>
        <w:pStyle w:val="ListParagraph"/>
        <w:numPr>
          <w:ilvl w:val="0"/>
          <w:numId w:val="7"/>
        </w:numPr>
        <w:spacing w:after="0" w:line="480" w:lineRule="auto"/>
        <w:ind w:left="0" w:firstLine="720"/>
        <w:rPr>
          <w:rFonts w:ascii="Times New Roman" w:hAnsi="Times New Roman"/>
          <w:sz w:val="24"/>
          <w:szCs w:val="24"/>
        </w:rPr>
      </w:pPr>
      <w:r>
        <w:rPr>
          <w:rFonts w:ascii="Times New Roman" w:hAnsi="Times New Roman"/>
          <w:sz w:val="24"/>
          <w:szCs w:val="24"/>
        </w:rPr>
        <w:t xml:space="preserve">  </w:t>
      </w:r>
      <w:r w:rsidR="0063568F">
        <w:rPr>
          <w:rFonts w:ascii="Times New Roman" w:hAnsi="Times New Roman"/>
          <w:sz w:val="24"/>
          <w:szCs w:val="24"/>
        </w:rPr>
        <w:t xml:space="preserve">Deena Picard has been the Acting Director of the Division’s Management Analysis and Project Services Bureau </w:t>
      </w:r>
      <w:r w:rsidR="00845033">
        <w:rPr>
          <w:rFonts w:ascii="Times New Roman" w:hAnsi="Times New Roman"/>
          <w:sz w:val="24"/>
          <w:szCs w:val="24"/>
        </w:rPr>
        <w:t xml:space="preserve">(MAPS) </w:t>
      </w:r>
      <w:r w:rsidR="0063568F">
        <w:rPr>
          <w:rFonts w:ascii="Times New Roman" w:hAnsi="Times New Roman"/>
          <w:sz w:val="24"/>
          <w:szCs w:val="24"/>
        </w:rPr>
        <w:t xml:space="preserve">since May 2017.  She is also a Data Processing Fiscal </w:t>
      </w:r>
      <w:r w:rsidR="0063568F">
        <w:rPr>
          <w:rFonts w:ascii="Times New Roman" w:hAnsi="Times New Roman"/>
          <w:sz w:val="24"/>
          <w:szCs w:val="24"/>
        </w:rPr>
        <w:lastRenderedPageBreak/>
        <w:t>Systems Auditor 3 and has held that position since February 2006.  In performing her duties for both positions, Ms. Picard has used the Divisions’ electronic Case and Resource Tracking System</w:t>
      </w:r>
      <w:r w:rsidR="0068318B">
        <w:rPr>
          <w:rFonts w:ascii="Times New Roman" w:hAnsi="Times New Roman"/>
          <w:sz w:val="24"/>
          <w:szCs w:val="24"/>
        </w:rPr>
        <w:t xml:space="preserve"> (CARTS)</w:t>
      </w:r>
      <w:r w:rsidR="0063568F">
        <w:rPr>
          <w:rFonts w:ascii="Times New Roman" w:hAnsi="Times New Roman"/>
          <w:sz w:val="24"/>
          <w:szCs w:val="24"/>
        </w:rPr>
        <w:t xml:space="preserve">, which generates statutory notices, including notices of deficiency.  As the Acting Director of MAPS, which is responsible for the receipt and storage of </w:t>
      </w:r>
      <w:r w:rsidR="006C52FF">
        <w:rPr>
          <w:rFonts w:ascii="Times New Roman" w:hAnsi="Times New Roman"/>
          <w:sz w:val="24"/>
          <w:szCs w:val="24"/>
        </w:rPr>
        <w:t>CMRs</w:t>
      </w:r>
      <w:r w:rsidR="0063568F">
        <w:rPr>
          <w:rFonts w:ascii="Times New Roman" w:hAnsi="Times New Roman"/>
          <w:sz w:val="24"/>
          <w:szCs w:val="24"/>
        </w:rPr>
        <w:t>, Ms. Picard is familiar with the Division’s past and present procedures as they relate to statutory notices.  Ms. Picard’s affidavit sets forth the Division</w:t>
      </w:r>
      <w:r w:rsidR="00845033">
        <w:rPr>
          <w:rFonts w:ascii="Times New Roman" w:hAnsi="Times New Roman"/>
          <w:sz w:val="24"/>
          <w:szCs w:val="24"/>
        </w:rPr>
        <w:t>’s general practices and procedures for generating and issuing statutory notices.</w:t>
      </w:r>
    </w:p>
    <w:p w14:paraId="0288DC82" w14:textId="329CAD4A" w:rsidR="00845033" w:rsidRDefault="00845033" w:rsidP="004D2833">
      <w:pPr>
        <w:pStyle w:val="ListParagraph"/>
        <w:numPr>
          <w:ilvl w:val="0"/>
          <w:numId w:val="7"/>
        </w:numPr>
        <w:spacing w:after="0" w:line="480" w:lineRule="auto"/>
        <w:ind w:left="0" w:firstLine="720"/>
        <w:rPr>
          <w:rFonts w:ascii="Times New Roman" w:hAnsi="Times New Roman"/>
          <w:sz w:val="24"/>
          <w:szCs w:val="24"/>
        </w:rPr>
      </w:pPr>
      <w:r>
        <w:rPr>
          <w:rFonts w:ascii="Times New Roman" w:hAnsi="Times New Roman"/>
          <w:sz w:val="24"/>
          <w:szCs w:val="24"/>
        </w:rPr>
        <w:t xml:space="preserve">  Statutory notices generated from CARTS are predated with the anticipated date of mailing and each notice is assigned a certified control number.</w:t>
      </w:r>
      <w:r w:rsidR="00484A95">
        <w:rPr>
          <w:rFonts w:ascii="Times New Roman" w:hAnsi="Times New Roman"/>
          <w:sz w:val="24"/>
          <w:szCs w:val="24"/>
        </w:rPr>
        <w:t xml:space="preserve">  </w:t>
      </w:r>
      <w:r>
        <w:rPr>
          <w:rFonts w:ascii="Times New Roman" w:hAnsi="Times New Roman"/>
          <w:sz w:val="24"/>
          <w:szCs w:val="24"/>
        </w:rPr>
        <w:t xml:space="preserve">The certified control number of each notice is listed on a separate one-page mailing cover sheet that is generated by CARTS for each notice.  The mailing cover sheet also bears a bar code, the recipient’s mailing address and the Division’s return address. </w:t>
      </w:r>
      <w:r w:rsidR="00484A95">
        <w:rPr>
          <w:rFonts w:ascii="Times New Roman" w:hAnsi="Times New Roman"/>
          <w:sz w:val="24"/>
          <w:szCs w:val="24"/>
        </w:rPr>
        <w:t xml:space="preserve"> CARTS also generates any enclosures referenced in the statutory notice.</w:t>
      </w:r>
      <w:r>
        <w:rPr>
          <w:rFonts w:ascii="Times New Roman" w:hAnsi="Times New Roman"/>
          <w:sz w:val="24"/>
          <w:szCs w:val="24"/>
        </w:rPr>
        <w:t xml:space="preserve"> </w:t>
      </w:r>
      <w:r w:rsidR="00484A95">
        <w:rPr>
          <w:rFonts w:ascii="Times New Roman" w:hAnsi="Times New Roman"/>
          <w:sz w:val="24"/>
          <w:szCs w:val="24"/>
        </w:rPr>
        <w:t xml:space="preserve"> </w:t>
      </w:r>
      <w:r>
        <w:rPr>
          <w:rFonts w:ascii="Times New Roman" w:hAnsi="Times New Roman"/>
          <w:sz w:val="24"/>
          <w:szCs w:val="24"/>
        </w:rPr>
        <w:t>Each notice, with accompanying mailing cover sheet and any enclosures referenced in the body of the notice, is a discrete unit within the batch of notices.</w:t>
      </w:r>
    </w:p>
    <w:p w14:paraId="4E69935C" w14:textId="35E0E447" w:rsidR="00845033" w:rsidRDefault="00E43894" w:rsidP="004D2833">
      <w:pPr>
        <w:pStyle w:val="ListParagraph"/>
        <w:numPr>
          <w:ilvl w:val="0"/>
          <w:numId w:val="7"/>
        </w:numPr>
        <w:spacing w:after="0" w:line="480" w:lineRule="auto"/>
        <w:ind w:left="0" w:firstLine="720"/>
        <w:rPr>
          <w:rFonts w:ascii="Times New Roman" w:hAnsi="Times New Roman"/>
          <w:sz w:val="24"/>
          <w:szCs w:val="24"/>
        </w:rPr>
      </w:pPr>
      <w:r>
        <w:rPr>
          <w:rFonts w:ascii="Times New Roman" w:hAnsi="Times New Roman"/>
          <w:sz w:val="24"/>
          <w:szCs w:val="24"/>
        </w:rPr>
        <w:t xml:space="preserve">  </w:t>
      </w:r>
      <w:r w:rsidR="002A433A">
        <w:rPr>
          <w:rFonts w:ascii="Times New Roman" w:hAnsi="Times New Roman"/>
          <w:sz w:val="24"/>
          <w:szCs w:val="24"/>
        </w:rPr>
        <w:t xml:space="preserve">Each batch of notices is accompanied by a </w:t>
      </w:r>
      <w:r w:rsidR="00BC1513">
        <w:rPr>
          <w:rFonts w:ascii="Times New Roman" w:hAnsi="Times New Roman"/>
          <w:sz w:val="24"/>
          <w:szCs w:val="24"/>
        </w:rPr>
        <w:t>CMR</w:t>
      </w:r>
      <w:r w:rsidR="002A433A">
        <w:rPr>
          <w:rFonts w:ascii="Times New Roman" w:hAnsi="Times New Roman"/>
          <w:sz w:val="24"/>
          <w:szCs w:val="24"/>
        </w:rPr>
        <w:t>.  The</w:t>
      </w:r>
      <w:r w:rsidR="00EC055A">
        <w:rPr>
          <w:rFonts w:ascii="Times New Roman" w:hAnsi="Times New Roman"/>
          <w:sz w:val="24"/>
          <w:szCs w:val="24"/>
        </w:rPr>
        <w:t xml:space="preserve"> </w:t>
      </w:r>
      <w:r w:rsidR="00BC1513">
        <w:rPr>
          <w:rFonts w:ascii="Times New Roman" w:hAnsi="Times New Roman"/>
          <w:sz w:val="24"/>
          <w:szCs w:val="24"/>
        </w:rPr>
        <w:t>CMR</w:t>
      </w:r>
      <w:r w:rsidR="002A433A">
        <w:rPr>
          <w:rFonts w:ascii="Times New Roman" w:hAnsi="Times New Roman"/>
          <w:sz w:val="24"/>
          <w:szCs w:val="24"/>
        </w:rPr>
        <w:t xml:space="preserve"> lists each notice in the order the notices are generated in the batch.  The certified control number is listed on the </w:t>
      </w:r>
      <w:r w:rsidR="00BC1513">
        <w:rPr>
          <w:rFonts w:ascii="Times New Roman" w:hAnsi="Times New Roman"/>
          <w:sz w:val="24"/>
          <w:szCs w:val="24"/>
        </w:rPr>
        <w:t>CMR</w:t>
      </w:r>
      <w:r w:rsidR="002A433A">
        <w:rPr>
          <w:rFonts w:ascii="Times New Roman" w:hAnsi="Times New Roman"/>
          <w:sz w:val="24"/>
          <w:szCs w:val="24"/>
        </w:rPr>
        <w:t xml:space="preserve"> under the heading entitled “Certified No.”  The </w:t>
      </w:r>
      <w:r w:rsidR="00AC6627">
        <w:rPr>
          <w:rFonts w:ascii="Times New Roman" w:hAnsi="Times New Roman"/>
          <w:sz w:val="24"/>
          <w:szCs w:val="24"/>
        </w:rPr>
        <w:t>statutory notice numbers</w:t>
      </w:r>
      <w:r w:rsidR="002A433A">
        <w:rPr>
          <w:rFonts w:ascii="Times New Roman" w:hAnsi="Times New Roman"/>
          <w:sz w:val="24"/>
          <w:szCs w:val="24"/>
        </w:rPr>
        <w:t xml:space="preserve"> are listed under the heading “Reference No.”  The names and addresses of the recipients are listed under “Name of Addressee, Street, and PO Address.”  Each</w:t>
      </w:r>
      <w:r w:rsidR="00EC055A">
        <w:rPr>
          <w:rFonts w:ascii="Times New Roman" w:hAnsi="Times New Roman"/>
          <w:sz w:val="24"/>
          <w:szCs w:val="24"/>
        </w:rPr>
        <w:t xml:space="preserve"> </w:t>
      </w:r>
      <w:r w:rsidR="00BC1513">
        <w:rPr>
          <w:rFonts w:ascii="Times New Roman" w:hAnsi="Times New Roman"/>
          <w:sz w:val="24"/>
          <w:szCs w:val="24"/>
        </w:rPr>
        <w:t>CMR</w:t>
      </w:r>
      <w:r w:rsidR="002A433A">
        <w:rPr>
          <w:rFonts w:ascii="Times New Roman" w:hAnsi="Times New Roman"/>
          <w:sz w:val="24"/>
          <w:szCs w:val="24"/>
        </w:rPr>
        <w:t xml:space="preserve"> and associated batch of statutory notices are</w:t>
      </w:r>
      <w:r w:rsidR="00EB7B06">
        <w:rPr>
          <w:rFonts w:ascii="Times New Roman" w:hAnsi="Times New Roman"/>
          <w:sz w:val="24"/>
          <w:szCs w:val="24"/>
        </w:rPr>
        <w:t xml:space="preserve"> </w:t>
      </w:r>
      <w:r w:rsidR="002A433A">
        <w:rPr>
          <w:rFonts w:ascii="Times New Roman" w:hAnsi="Times New Roman"/>
          <w:sz w:val="24"/>
          <w:szCs w:val="24"/>
        </w:rPr>
        <w:t>forwarded to the mail room together.</w:t>
      </w:r>
    </w:p>
    <w:p w14:paraId="71D15B4F" w14:textId="7C82C8B6" w:rsidR="002A433A" w:rsidRDefault="002A433A" w:rsidP="004D2833">
      <w:pPr>
        <w:pStyle w:val="ListParagraph"/>
        <w:numPr>
          <w:ilvl w:val="0"/>
          <w:numId w:val="7"/>
        </w:numPr>
        <w:spacing w:after="0" w:line="480" w:lineRule="auto"/>
        <w:ind w:left="0" w:firstLine="720"/>
        <w:rPr>
          <w:rFonts w:ascii="Times New Roman" w:hAnsi="Times New Roman"/>
          <w:sz w:val="24"/>
          <w:szCs w:val="24"/>
        </w:rPr>
      </w:pPr>
      <w:r>
        <w:rPr>
          <w:rFonts w:ascii="Times New Roman" w:hAnsi="Times New Roman"/>
          <w:sz w:val="24"/>
          <w:szCs w:val="24"/>
        </w:rPr>
        <w:t xml:space="preserve">  All pages of the </w:t>
      </w:r>
      <w:r w:rsidR="00BC1513">
        <w:rPr>
          <w:rFonts w:ascii="Times New Roman" w:hAnsi="Times New Roman"/>
          <w:sz w:val="24"/>
          <w:szCs w:val="24"/>
        </w:rPr>
        <w:t>CMR</w:t>
      </w:r>
      <w:r>
        <w:rPr>
          <w:rFonts w:ascii="Times New Roman" w:hAnsi="Times New Roman"/>
          <w:sz w:val="24"/>
          <w:szCs w:val="24"/>
        </w:rPr>
        <w:t xml:space="preserve"> are banded together when the documents are delivered </w:t>
      </w:r>
      <w:r w:rsidR="00950667">
        <w:rPr>
          <w:rFonts w:ascii="Times New Roman" w:hAnsi="Times New Roman"/>
          <w:sz w:val="24"/>
          <w:szCs w:val="24"/>
        </w:rPr>
        <w:t>to</w:t>
      </w:r>
      <w:r>
        <w:rPr>
          <w:rFonts w:ascii="Times New Roman" w:hAnsi="Times New Roman"/>
          <w:sz w:val="24"/>
          <w:szCs w:val="24"/>
        </w:rPr>
        <w:t xml:space="preserve"> the Division’s mail room and remain so when returned to the Division.  The pages of the </w:t>
      </w:r>
      <w:r w:rsidR="00BC1513">
        <w:rPr>
          <w:rFonts w:ascii="Times New Roman" w:hAnsi="Times New Roman"/>
          <w:sz w:val="24"/>
          <w:szCs w:val="24"/>
        </w:rPr>
        <w:t>CMR</w:t>
      </w:r>
      <w:r>
        <w:rPr>
          <w:rFonts w:ascii="Times New Roman" w:hAnsi="Times New Roman"/>
          <w:sz w:val="24"/>
          <w:szCs w:val="24"/>
        </w:rPr>
        <w:t xml:space="preserve"> stay </w:t>
      </w:r>
      <w:r>
        <w:rPr>
          <w:rFonts w:ascii="Times New Roman" w:hAnsi="Times New Roman"/>
          <w:sz w:val="24"/>
          <w:szCs w:val="24"/>
        </w:rPr>
        <w:lastRenderedPageBreak/>
        <w:t xml:space="preserve">banded together unless otherwise ordered.  The page numbers of the </w:t>
      </w:r>
      <w:r w:rsidR="00BC1513">
        <w:rPr>
          <w:rFonts w:ascii="Times New Roman" w:hAnsi="Times New Roman"/>
          <w:sz w:val="24"/>
          <w:szCs w:val="24"/>
        </w:rPr>
        <w:t>CMR</w:t>
      </w:r>
      <w:r>
        <w:rPr>
          <w:rFonts w:ascii="Times New Roman" w:hAnsi="Times New Roman"/>
          <w:sz w:val="24"/>
          <w:szCs w:val="24"/>
        </w:rPr>
        <w:t xml:space="preserve"> run consecutively, starting with “Page 1,” and are noted in the upper right corner of each page.</w:t>
      </w:r>
    </w:p>
    <w:p w14:paraId="57248278" w14:textId="1D1CFD2C" w:rsidR="0020491F" w:rsidRDefault="00EB7B06" w:rsidP="0020491F">
      <w:pPr>
        <w:pStyle w:val="ListParagraph"/>
        <w:numPr>
          <w:ilvl w:val="0"/>
          <w:numId w:val="7"/>
        </w:numPr>
        <w:spacing w:after="0" w:line="480" w:lineRule="auto"/>
        <w:ind w:left="0" w:firstLine="720"/>
        <w:rPr>
          <w:rFonts w:ascii="Times New Roman" w:hAnsi="Times New Roman"/>
          <w:sz w:val="24"/>
          <w:szCs w:val="24"/>
        </w:rPr>
      </w:pPr>
      <w:r>
        <w:rPr>
          <w:rFonts w:ascii="Times New Roman" w:hAnsi="Times New Roman"/>
          <w:sz w:val="24"/>
          <w:szCs w:val="24"/>
        </w:rPr>
        <w:t xml:space="preserve">  Here, the CMR for the notices issued by the Division on </w:t>
      </w:r>
      <w:r w:rsidR="00ED7A4B">
        <w:rPr>
          <w:rFonts w:ascii="Times New Roman" w:hAnsi="Times New Roman"/>
          <w:sz w:val="24"/>
          <w:szCs w:val="24"/>
        </w:rPr>
        <w:t>November 9, 2018</w:t>
      </w:r>
      <w:r>
        <w:rPr>
          <w:rFonts w:ascii="Times New Roman" w:hAnsi="Times New Roman"/>
          <w:sz w:val="24"/>
          <w:szCs w:val="24"/>
        </w:rPr>
        <w:t>, including notice L-0</w:t>
      </w:r>
      <w:r w:rsidR="00ED7A4B">
        <w:rPr>
          <w:rFonts w:ascii="Times New Roman" w:hAnsi="Times New Roman"/>
          <w:sz w:val="24"/>
          <w:szCs w:val="24"/>
        </w:rPr>
        <w:t>48713107</w:t>
      </w:r>
      <w:r w:rsidR="00AE3089">
        <w:rPr>
          <w:rFonts w:ascii="Times New Roman" w:hAnsi="Times New Roman"/>
          <w:sz w:val="24"/>
          <w:szCs w:val="24"/>
        </w:rPr>
        <w:t>-2</w:t>
      </w:r>
      <w:r>
        <w:rPr>
          <w:rFonts w:ascii="Times New Roman" w:hAnsi="Times New Roman"/>
          <w:sz w:val="24"/>
          <w:szCs w:val="24"/>
        </w:rPr>
        <w:t xml:space="preserve">, consists of </w:t>
      </w:r>
      <w:r w:rsidR="00ED7A4B">
        <w:rPr>
          <w:rFonts w:ascii="Times New Roman" w:hAnsi="Times New Roman"/>
          <w:sz w:val="24"/>
          <w:szCs w:val="24"/>
        </w:rPr>
        <w:t>2</w:t>
      </w:r>
      <w:r>
        <w:rPr>
          <w:rFonts w:ascii="Times New Roman" w:hAnsi="Times New Roman"/>
          <w:sz w:val="24"/>
          <w:szCs w:val="24"/>
        </w:rPr>
        <w:t xml:space="preserve"> pages and </w:t>
      </w:r>
      <w:r w:rsidR="00ED7A4B">
        <w:rPr>
          <w:rFonts w:ascii="Times New Roman" w:hAnsi="Times New Roman"/>
          <w:sz w:val="24"/>
          <w:szCs w:val="24"/>
        </w:rPr>
        <w:t>14</w:t>
      </w:r>
      <w:r>
        <w:rPr>
          <w:rFonts w:ascii="Times New Roman" w:hAnsi="Times New Roman"/>
          <w:sz w:val="24"/>
          <w:szCs w:val="24"/>
        </w:rPr>
        <w:t xml:space="preserve"> certified control numbers along with corresponding assessment numbers, names and addresses.  </w:t>
      </w:r>
      <w:r w:rsidR="00C11FFD">
        <w:rPr>
          <w:rFonts w:ascii="Times New Roman" w:hAnsi="Times New Roman"/>
          <w:sz w:val="24"/>
          <w:szCs w:val="24"/>
        </w:rPr>
        <w:t>Page 1 consists of 13 entries and page 2</w:t>
      </w:r>
      <w:r w:rsidR="0020491F">
        <w:rPr>
          <w:rFonts w:ascii="Times New Roman" w:hAnsi="Times New Roman"/>
          <w:sz w:val="24"/>
          <w:szCs w:val="24"/>
        </w:rPr>
        <w:t xml:space="preserve"> contains 1 entry.  Ms. Picard notes that the copy of the CMR that is attached to her affidavit has been redacted to preserve the confidentiality of information relating to taxpayers who are not involved in this proceeding.</w:t>
      </w:r>
    </w:p>
    <w:p w14:paraId="4A4EAE54" w14:textId="227BB99A" w:rsidR="0020491F" w:rsidRPr="0020491F" w:rsidRDefault="0020491F" w:rsidP="0020491F">
      <w:pPr>
        <w:spacing w:after="0" w:line="480" w:lineRule="auto"/>
        <w:ind w:firstLine="720"/>
        <w:rPr>
          <w:rFonts w:ascii="Times New Roman" w:hAnsi="Times New Roman"/>
          <w:sz w:val="24"/>
          <w:szCs w:val="24"/>
        </w:rPr>
      </w:pPr>
      <w:r>
        <w:rPr>
          <w:rFonts w:ascii="Times New Roman" w:hAnsi="Times New Roman"/>
          <w:sz w:val="24"/>
          <w:szCs w:val="24"/>
        </w:rPr>
        <w:t xml:space="preserve">Each page of the </w:t>
      </w:r>
      <w:r w:rsidR="00C62A30">
        <w:rPr>
          <w:rFonts w:ascii="Times New Roman" w:hAnsi="Times New Roman"/>
          <w:sz w:val="24"/>
          <w:szCs w:val="24"/>
        </w:rPr>
        <w:t>CMR</w:t>
      </w:r>
      <w:r>
        <w:rPr>
          <w:rFonts w:ascii="Times New Roman" w:hAnsi="Times New Roman"/>
          <w:sz w:val="24"/>
          <w:szCs w:val="24"/>
        </w:rPr>
        <w:t xml:space="preserve"> lists an initial date that is approximately 10 days in advance of the anticipated date of mailing.</w:t>
      </w:r>
      <w:r w:rsidR="00383BBF">
        <w:rPr>
          <w:rFonts w:ascii="Times New Roman" w:hAnsi="Times New Roman"/>
          <w:sz w:val="24"/>
          <w:szCs w:val="24"/>
        </w:rPr>
        <w:t xml:space="preserve">  Following the Division’s general practice, this date is manually changed on the first and last page of the </w:t>
      </w:r>
      <w:r w:rsidR="00AE3BCD">
        <w:rPr>
          <w:rFonts w:ascii="Times New Roman" w:hAnsi="Times New Roman"/>
          <w:sz w:val="24"/>
          <w:szCs w:val="24"/>
        </w:rPr>
        <w:t>CMR</w:t>
      </w:r>
      <w:r w:rsidR="00383BBF">
        <w:rPr>
          <w:rFonts w:ascii="Times New Roman" w:hAnsi="Times New Roman"/>
          <w:sz w:val="24"/>
          <w:szCs w:val="24"/>
        </w:rPr>
        <w:t xml:space="preserve"> to the actual date of mailing.  In the instant case, the actual mailing date as handwritten on the first and </w:t>
      </w:r>
      <w:r w:rsidR="00296863">
        <w:rPr>
          <w:rFonts w:ascii="Times New Roman" w:hAnsi="Times New Roman"/>
          <w:sz w:val="24"/>
          <w:szCs w:val="24"/>
        </w:rPr>
        <w:t>second</w:t>
      </w:r>
      <w:r w:rsidR="00383BBF">
        <w:rPr>
          <w:rFonts w:ascii="Times New Roman" w:hAnsi="Times New Roman"/>
          <w:sz w:val="24"/>
          <w:szCs w:val="24"/>
        </w:rPr>
        <w:t xml:space="preserve"> page of the CMR was “</w:t>
      </w:r>
      <w:r w:rsidR="00C11FFD">
        <w:rPr>
          <w:rFonts w:ascii="Times New Roman" w:hAnsi="Times New Roman"/>
          <w:sz w:val="24"/>
          <w:szCs w:val="24"/>
        </w:rPr>
        <w:t>11</w:t>
      </w:r>
      <w:r w:rsidR="00383BBF">
        <w:rPr>
          <w:rFonts w:ascii="Times New Roman" w:hAnsi="Times New Roman"/>
          <w:sz w:val="24"/>
          <w:szCs w:val="24"/>
        </w:rPr>
        <w:t>/</w:t>
      </w:r>
      <w:r w:rsidR="00C11FFD">
        <w:rPr>
          <w:rFonts w:ascii="Times New Roman" w:hAnsi="Times New Roman"/>
          <w:sz w:val="24"/>
          <w:szCs w:val="24"/>
        </w:rPr>
        <w:t>9</w:t>
      </w:r>
      <w:r w:rsidR="00383BBF">
        <w:rPr>
          <w:rFonts w:ascii="Times New Roman" w:hAnsi="Times New Roman"/>
          <w:sz w:val="24"/>
          <w:szCs w:val="24"/>
        </w:rPr>
        <w:t xml:space="preserve">.”  A USPS representative affixed a postmark, dated </w:t>
      </w:r>
      <w:r w:rsidR="00296863">
        <w:rPr>
          <w:rFonts w:ascii="Times New Roman" w:hAnsi="Times New Roman"/>
          <w:sz w:val="24"/>
          <w:szCs w:val="24"/>
        </w:rPr>
        <w:t>November 9</w:t>
      </w:r>
      <w:r w:rsidR="00383BBF">
        <w:rPr>
          <w:rFonts w:ascii="Times New Roman" w:hAnsi="Times New Roman"/>
          <w:sz w:val="24"/>
          <w:szCs w:val="24"/>
        </w:rPr>
        <w:t>, 201</w:t>
      </w:r>
      <w:r w:rsidR="00296863">
        <w:rPr>
          <w:rFonts w:ascii="Times New Roman" w:hAnsi="Times New Roman"/>
          <w:sz w:val="24"/>
          <w:szCs w:val="24"/>
        </w:rPr>
        <w:t>8</w:t>
      </w:r>
      <w:r w:rsidR="00383BBF">
        <w:rPr>
          <w:rFonts w:ascii="Times New Roman" w:hAnsi="Times New Roman"/>
          <w:sz w:val="24"/>
          <w:szCs w:val="24"/>
        </w:rPr>
        <w:t xml:space="preserve">, to </w:t>
      </w:r>
      <w:r w:rsidR="00DB0901">
        <w:rPr>
          <w:rFonts w:ascii="Times New Roman" w:hAnsi="Times New Roman"/>
          <w:sz w:val="24"/>
          <w:szCs w:val="24"/>
        </w:rPr>
        <w:t>both</w:t>
      </w:r>
      <w:r w:rsidR="00383BBF">
        <w:rPr>
          <w:rFonts w:ascii="Times New Roman" w:hAnsi="Times New Roman"/>
          <w:sz w:val="24"/>
          <w:szCs w:val="24"/>
        </w:rPr>
        <w:t xml:space="preserve"> page</w:t>
      </w:r>
      <w:r w:rsidR="00DB0901">
        <w:rPr>
          <w:rFonts w:ascii="Times New Roman" w:hAnsi="Times New Roman"/>
          <w:sz w:val="24"/>
          <w:szCs w:val="24"/>
        </w:rPr>
        <w:t>s</w:t>
      </w:r>
      <w:r w:rsidR="00383BBF">
        <w:rPr>
          <w:rFonts w:ascii="Times New Roman" w:hAnsi="Times New Roman"/>
          <w:sz w:val="24"/>
          <w:szCs w:val="24"/>
        </w:rPr>
        <w:t xml:space="preserve"> of the CMR, wrote “</w:t>
      </w:r>
      <w:r w:rsidR="00DB0901">
        <w:rPr>
          <w:rFonts w:ascii="Times New Roman" w:hAnsi="Times New Roman"/>
          <w:sz w:val="24"/>
          <w:szCs w:val="24"/>
        </w:rPr>
        <w:t>14</w:t>
      </w:r>
      <w:r w:rsidR="00383BBF">
        <w:rPr>
          <w:rFonts w:ascii="Times New Roman" w:hAnsi="Times New Roman"/>
          <w:sz w:val="24"/>
          <w:szCs w:val="24"/>
        </w:rPr>
        <w:t xml:space="preserve">” on page </w:t>
      </w:r>
      <w:r w:rsidR="00DB0901">
        <w:rPr>
          <w:rFonts w:ascii="Times New Roman" w:hAnsi="Times New Roman"/>
          <w:sz w:val="24"/>
          <w:szCs w:val="24"/>
        </w:rPr>
        <w:t>2</w:t>
      </w:r>
      <w:r w:rsidR="00383BBF">
        <w:rPr>
          <w:rFonts w:ascii="Times New Roman" w:hAnsi="Times New Roman"/>
          <w:sz w:val="24"/>
          <w:szCs w:val="24"/>
        </w:rPr>
        <w:t xml:space="preserve"> next to the heading </w:t>
      </w:r>
      <w:r w:rsidR="00DB0901">
        <w:rPr>
          <w:rFonts w:ascii="Times New Roman" w:hAnsi="Times New Roman"/>
          <w:sz w:val="24"/>
          <w:szCs w:val="24"/>
        </w:rPr>
        <w:t>“</w:t>
      </w:r>
      <w:r w:rsidR="00383BBF">
        <w:rPr>
          <w:rFonts w:ascii="Times New Roman" w:hAnsi="Times New Roman"/>
          <w:sz w:val="24"/>
          <w:szCs w:val="24"/>
        </w:rPr>
        <w:t xml:space="preserve">Total Pieces Received at Post Office,” and initialed </w:t>
      </w:r>
      <w:r w:rsidR="00F367F5" w:rsidRPr="00A262CE">
        <w:rPr>
          <w:rFonts w:ascii="Times New Roman" w:hAnsi="Times New Roman"/>
          <w:sz w:val="24"/>
          <w:szCs w:val="24"/>
        </w:rPr>
        <w:t>or signed</w:t>
      </w:r>
      <w:r w:rsidR="00F367F5">
        <w:rPr>
          <w:rFonts w:ascii="Times New Roman" w:hAnsi="Times New Roman"/>
          <w:color w:val="FF0000"/>
          <w:sz w:val="24"/>
          <w:szCs w:val="24"/>
        </w:rPr>
        <w:t xml:space="preserve"> </w:t>
      </w:r>
      <w:r w:rsidR="00383BBF">
        <w:rPr>
          <w:rFonts w:ascii="Times New Roman" w:hAnsi="Times New Roman"/>
          <w:sz w:val="24"/>
          <w:szCs w:val="24"/>
        </w:rPr>
        <w:t>the page.</w:t>
      </w:r>
    </w:p>
    <w:p w14:paraId="1490BD29" w14:textId="61ED531C" w:rsidR="0020491F" w:rsidRDefault="00315672" w:rsidP="0020491F">
      <w:pPr>
        <w:pStyle w:val="ListParagraph"/>
        <w:numPr>
          <w:ilvl w:val="0"/>
          <w:numId w:val="7"/>
        </w:numPr>
        <w:spacing w:after="0" w:line="480" w:lineRule="auto"/>
        <w:ind w:left="0" w:firstLine="720"/>
        <w:rPr>
          <w:rFonts w:ascii="Times New Roman" w:hAnsi="Times New Roman"/>
          <w:sz w:val="24"/>
          <w:szCs w:val="24"/>
        </w:rPr>
      </w:pPr>
      <w:r>
        <w:rPr>
          <w:rFonts w:ascii="Times New Roman" w:hAnsi="Times New Roman"/>
          <w:sz w:val="24"/>
          <w:szCs w:val="24"/>
        </w:rPr>
        <w:t xml:space="preserve">  Page </w:t>
      </w:r>
      <w:r w:rsidR="00DB0901">
        <w:rPr>
          <w:rFonts w:ascii="Times New Roman" w:hAnsi="Times New Roman"/>
          <w:sz w:val="24"/>
          <w:szCs w:val="24"/>
        </w:rPr>
        <w:t>one</w:t>
      </w:r>
      <w:r>
        <w:rPr>
          <w:rFonts w:ascii="Times New Roman" w:hAnsi="Times New Roman"/>
          <w:sz w:val="24"/>
          <w:szCs w:val="24"/>
        </w:rPr>
        <w:t xml:space="preserve"> of the CMR indicates that notice L-04</w:t>
      </w:r>
      <w:r w:rsidR="00DB0901">
        <w:rPr>
          <w:rFonts w:ascii="Times New Roman" w:hAnsi="Times New Roman"/>
          <w:sz w:val="24"/>
          <w:szCs w:val="24"/>
        </w:rPr>
        <w:t>8713107</w:t>
      </w:r>
      <w:r w:rsidR="00036C26">
        <w:rPr>
          <w:rFonts w:ascii="Times New Roman" w:hAnsi="Times New Roman"/>
          <w:sz w:val="24"/>
          <w:szCs w:val="24"/>
        </w:rPr>
        <w:t>-2</w:t>
      </w:r>
      <w:r>
        <w:rPr>
          <w:rFonts w:ascii="Times New Roman" w:hAnsi="Times New Roman"/>
          <w:sz w:val="24"/>
          <w:szCs w:val="24"/>
        </w:rPr>
        <w:t xml:space="preserve"> with certified control number 7104 1002 9735 </w:t>
      </w:r>
      <w:r w:rsidR="00DB0901">
        <w:rPr>
          <w:rFonts w:ascii="Times New Roman" w:hAnsi="Times New Roman"/>
          <w:sz w:val="24"/>
          <w:szCs w:val="24"/>
        </w:rPr>
        <w:t>4536</w:t>
      </w:r>
      <w:r>
        <w:rPr>
          <w:rFonts w:ascii="Times New Roman" w:hAnsi="Times New Roman"/>
          <w:sz w:val="24"/>
          <w:szCs w:val="24"/>
        </w:rPr>
        <w:t xml:space="preserve"> </w:t>
      </w:r>
      <w:r w:rsidR="00DB0901">
        <w:rPr>
          <w:rFonts w:ascii="Times New Roman" w:hAnsi="Times New Roman"/>
          <w:sz w:val="24"/>
          <w:szCs w:val="24"/>
        </w:rPr>
        <w:t>7770</w:t>
      </w:r>
      <w:r>
        <w:rPr>
          <w:rFonts w:ascii="Times New Roman" w:hAnsi="Times New Roman"/>
          <w:sz w:val="24"/>
          <w:szCs w:val="24"/>
        </w:rPr>
        <w:t xml:space="preserve"> was mailed to petitioner</w:t>
      </w:r>
      <w:r w:rsidR="00DB0901">
        <w:rPr>
          <w:rFonts w:ascii="Times New Roman" w:hAnsi="Times New Roman"/>
          <w:sz w:val="24"/>
          <w:szCs w:val="24"/>
        </w:rPr>
        <w:t>s</w:t>
      </w:r>
      <w:r>
        <w:rPr>
          <w:rFonts w:ascii="Times New Roman" w:hAnsi="Times New Roman"/>
          <w:sz w:val="24"/>
          <w:szCs w:val="24"/>
        </w:rPr>
        <w:t xml:space="preserve"> at </w:t>
      </w:r>
      <w:r w:rsidR="00DB0901">
        <w:rPr>
          <w:rFonts w:ascii="Times New Roman" w:hAnsi="Times New Roman"/>
          <w:sz w:val="24"/>
          <w:szCs w:val="24"/>
        </w:rPr>
        <w:t>their Brooklyn, New York</w:t>
      </w:r>
      <w:r w:rsidR="00996087">
        <w:rPr>
          <w:rFonts w:ascii="Times New Roman" w:hAnsi="Times New Roman"/>
          <w:sz w:val="24"/>
          <w:szCs w:val="24"/>
        </w:rPr>
        <w:t>,</w:t>
      </w:r>
      <w:r w:rsidR="005631B9">
        <w:rPr>
          <w:rFonts w:ascii="Times New Roman" w:hAnsi="Times New Roman"/>
          <w:sz w:val="24"/>
          <w:szCs w:val="24"/>
        </w:rPr>
        <w:t xml:space="preserve"> </w:t>
      </w:r>
      <w:r w:rsidR="00DB0901">
        <w:rPr>
          <w:rFonts w:ascii="Times New Roman" w:hAnsi="Times New Roman"/>
          <w:sz w:val="24"/>
          <w:szCs w:val="24"/>
        </w:rPr>
        <w:t>address</w:t>
      </w:r>
      <w:r>
        <w:rPr>
          <w:rFonts w:ascii="Times New Roman" w:hAnsi="Times New Roman"/>
          <w:sz w:val="24"/>
          <w:szCs w:val="24"/>
        </w:rPr>
        <w:t>.  The corresponding mailing cover sheet, attached to the Picard affidavit with the notice as exhibit “B,” bears this certified control number, petitioners</w:t>
      </w:r>
      <w:r w:rsidR="00DB0901">
        <w:rPr>
          <w:rFonts w:ascii="Times New Roman" w:hAnsi="Times New Roman"/>
          <w:sz w:val="24"/>
          <w:szCs w:val="24"/>
        </w:rPr>
        <w:t>’</w:t>
      </w:r>
      <w:r>
        <w:rPr>
          <w:rFonts w:ascii="Times New Roman" w:hAnsi="Times New Roman"/>
          <w:sz w:val="24"/>
          <w:szCs w:val="24"/>
        </w:rPr>
        <w:t xml:space="preserve"> name</w:t>
      </w:r>
      <w:r w:rsidR="00DB0901">
        <w:rPr>
          <w:rFonts w:ascii="Times New Roman" w:hAnsi="Times New Roman"/>
          <w:sz w:val="24"/>
          <w:szCs w:val="24"/>
        </w:rPr>
        <w:t>s</w:t>
      </w:r>
      <w:r>
        <w:rPr>
          <w:rFonts w:ascii="Times New Roman" w:hAnsi="Times New Roman"/>
          <w:sz w:val="24"/>
          <w:szCs w:val="24"/>
        </w:rPr>
        <w:t xml:space="preserve">, and </w:t>
      </w:r>
      <w:r w:rsidR="00DB0901">
        <w:rPr>
          <w:rFonts w:ascii="Times New Roman" w:hAnsi="Times New Roman"/>
          <w:sz w:val="24"/>
          <w:szCs w:val="24"/>
        </w:rPr>
        <w:t>their</w:t>
      </w:r>
      <w:r>
        <w:rPr>
          <w:rFonts w:ascii="Times New Roman" w:hAnsi="Times New Roman"/>
          <w:sz w:val="24"/>
          <w:szCs w:val="24"/>
        </w:rPr>
        <w:t xml:space="preserve"> address as stated above.</w:t>
      </w:r>
    </w:p>
    <w:p w14:paraId="0359966F" w14:textId="757C9383" w:rsidR="00BF28F4" w:rsidRDefault="00BF28F4" w:rsidP="0020491F">
      <w:pPr>
        <w:pStyle w:val="ListParagraph"/>
        <w:numPr>
          <w:ilvl w:val="0"/>
          <w:numId w:val="7"/>
        </w:numPr>
        <w:spacing w:after="0" w:line="480" w:lineRule="auto"/>
        <w:ind w:left="0" w:firstLine="720"/>
        <w:rPr>
          <w:rFonts w:ascii="Times New Roman" w:hAnsi="Times New Roman"/>
          <w:sz w:val="24"/>
          <w:szCs w:val="24"/>
        </w:rPr>
      </w:pPr>
      <w:r>
        <w:rPr>
          <w:rFonts w:ascii="Times New Roman" w:hAnsi="Times New Roman"/>
          <w:sz w:val="24"/>
          <w:szCs w:val="24"/>
        </w:rPr>
        <w:t xml:space="preserve">  Ms. Picard avers that the procedures followed and described in her affidavit were the normal and regular procedures of the Division on </w:t>
      </w:r>
      <w:r w:rsidR="006E0844">
        <w:rPr>
          <w:rFonts w:ascii="Times New Roman" w:hAnsi="Times New Roman"/>
          <w:sz w:val="24"/>
          <w:szCs w:val="24"/>
        </w:rPr>
        <w:t>November 9, 2018</w:t>
      </w:r>
      <w:r>
        <w:rPr>
          <w:rFonts w:ascii="Times New Roman" w:hAnsi="Times New Roman"/>
          <w:sz w:val="24"/>
          <w:szCs w:val="24"/>
        </w:rPr>
        <w:t>.</w:t>
      </w:r>
    </w:p>
    <w:p w14:paraId="74F22895" w14:textId="0656187C" w:rsidR="00911A38" w:rsidRDefault="00315672" w:rsidP="00911A38">
      <w:pPr>
        <w:pStyle w:val="ListParagraph"/>
        <w:numPr>
          <w:ilvl w:val="0"/>
          <w:numId w:val="7"/>
        </w:numPr>
        <w:spacing w:after="0" w:line="480" w:lineRule="auto"/>
        <w:ind w:left="0" w:firstLine="720"/>
        <w:rPr>
          <w:rFonts w:ascii="Times New Roman" w:hAnsi="Times New Roman"/>
          <w:sz w:val="24"/>
          <w:szCs w:val="24"/>
        </w:rPr>
      </w:pPr>
      <w:r>
        <w:rPr>
          <w:rFonts w:ascii="Times New Roman" w:hAnsi="Times New Roman"/>
          <w:sz w:val="24"/>
          <w:szCs w:val="24"/>
        </w:rPr>
        <w:lastRenderedPageBreak/>
        <w:t xml:space="preserve">  </w:t>
      </w:r>
      <w:r w:rsidR="00CA6F13">
        <w:rPr>
          <w:rFonts w:ascii="Times New Roman" w:hAnsi="Times New Roman"/>
          <w:sz w:val="24"/>
          <w:szCs w:val="24"/>
        </w:rPr>
        <w:t>Susan Saccocio</w:t>
      </w:r>
      <w:r>
        <w:rPr>
          <w:rFonts w:ascii="Times New Roman" w:hAnsi="Times New Roman"/>
          <w:sz w:val="24"/>
          <w:szCs w:val="24"/>
        </w:rPr>
        <w:t xml:space="preserve">, a </w:t>
      </w:r>
      <w:r w:rsidR="00CA6F13">
        <w:rPr>
          <w:rFonts w:ascii="Times New Roman" w:hAnsi="Times New Roman"/>
          <w:sz w:val="24"/>
          <w:szCs w:val="24"/>
        </w:rPr>
        <w:t>manage</w:t>
      </w:r>
      <w:r>
        <w:rPr>
          <w:rFonts w:ascii="Times New Roman" w:hAnsi="Times New Roman"/>
          <w:sz w:val="24"/>
          <w:szCs w:val="24"/>
        </w:rPr>
        <w:t xml:space="preserve">r in the Division’s mail room, describes the mail room’s general operations </w:t>
      </w:r>
      <w:r w:rsidR="00F173E2">
        <w:rPr>
          <w:rFonts w:ascii="Times New Roman" w:hAnsi="Times New Roman"/>
          <w:sz w:val="24"/>
          <w:szCs w:val="24"/>
        </w:rPr>
        <w:t>and</w:t>
      </w:r>
      <w:r>
        <w:rPr>
          <w:rFonts w:ascii="Times New Roman" w:hAnsi="Times New Roman"/>
          <w:sz w:val="24"/>
          <w:szCs w:val="24"/>
        </w:rPr>
        <w:t xml:space="preserve"> procedures </w:t>
      </w:r>
      <w:r w:rsidR="008D10A2">
        <w:rPr>
          <w:rFonts w:ascii="Times New Roman" w:hAnsi="Times New Roman"/>
          <w:sz w:val="24"/>
          <w:szCs w:val="24"/>
        </w:rPr>
        <w:t>in h</w:t>
      </w:r>
      <w:r w:rsidR="00815A2C">
        <w:rPr>
          <w:rFonts w:ascii="Times New Roman" w:hAnsi="Times New Roman"/>
          <w:sz w:val="24"/>
          <w:szCs w:val="24"/>
        </w:rPr>
        <w:t>er</w:t>
      </w:r>
      <w:r w:rsidR="008D10A2">
        <w:rPr>
          <w:rFonts w:ascii="Times New Roman" w:hAnsi="Times New Roman"/>
          <w:sz w:val="24"/>
          <w:szCs w:val="24"/>
        </w:rPr>
        <w:t xml:space="preserve"> affidavit as they relate to statutory notices</w:t>
      </w:r>
      <w:r>
        <w:rPr>
          <w:rFonts w:ascii="Times New Roman" w:hAnsi="Times New Roman"/>
          <w:sz w:val="24"/>
          <w:szCs w:val="24"/>
        </w:rPr>
        <w:t>.</w:t>
      </w:r>
      <w:r w:rsidR="001E755B">
        <w:rPr>
          <w:rFonts w:ascii="Times New Roman" w:hAnsi="Times New Roman"/>
          <w:sz w:val="24"/>
          <w:szCs w:val="24"/>
        </w:rPr>
        <w:t xml:space="preserve">  M</w:t>
      </w:r>
      <w:r w:rsidR="00815A2C">
        <w:rPr>
          <w:rFonts w:ascii="Times New Roman" w:hAnsi="Times New Roman"/>
          <w:sz w:val="24"/>
          <w:szCs w:val="24"/>
        </w:rPr>
        <w:t>s</w:t>
      </w:r>
      <w:r w:rsidR="001E755B">
        <w:rPr>
          <w:rFonts w:ascii="Times New Roman" w:hAnsi="Times New Roman"/>
          <w:sz w:val="24"/>
          <w:szCs w:val="24"/>
        </w:rPr>
        <w:t xml:space="preserve">. </w:t>
      </w:r>
      <w:r w:rsidR="00815A2C">
        <w:rPr>
          <w:rFonts w:ascii="Times New Roman" w:hAnsi="Times New Roman"/>
          <w:sz w:val="24"/>
          <w:szCs w:val="24"/>
        </w:rPr>
        <w:t>Saccocio</w:t>
      </w:r>
      <w:r w:rsidR="001E755B">
        <w:rPr>
          <w:rFonts w:ascii="Times New Roman" w:hAnsi="Times New Roman"/>
          <w:sz w:val="24"/>
          <w:szCs w:val="24"/>
        </w:rPr>
        <w:t xml:space="preserve"> has been a </w:t>
      </w:r>
      <w:r w:rsidR="00815A2C">
        <w:rPr>
          <w:rFonts w:ascii="Times New Roman" w:hAnsi="Times New Roman"/>
          <w:sz w:val="24"/>
          <w:szCs w:val="24"/>
        </w:rPr>
        <w:t>manager</w:t>
      </w:r>
      <w:r w:rsidR="001E755B">
        <w:rPr>
          <w:rFonts w:ascii="Times New Roman" w:hAnsi="Times New Roman"/>
          <w:sz w:val="24"/>
          <w:szCs w:val="24"/>
        </w:rPr>
        <w:t xml:space="preserve"> in the mail room since </w:t>
      </w:r>
      <w:r w:rsidR="00815A2C">
        <w:rPr>
          <w:rFonts w:ascii="Times New Roman" w:hAnsi="Times New Roman"/>
          <w:sz w:val="24"/>
          <w:szCs w:val="24"/>
        </w:rPr>
        <w:t>2017</w:t>
      </w:r>
      <w:r w:rsidR="001E755B">
        <w:rPr>
          <w:rFonts w:ascii="Times New Roman" w:hAnsi="Times New Roman"/>
          <w:sz w:val="24"/>
          <w:szCs w:val="24"/>
        </w:rPr>
        <w:t xml:space="preserve">.  As a mail room </w:t>
      </w:r>
      <w:r w:rsidR="00815A2C">
        <w:rPr>
          <w:rFonts w:ascii="Times New Roman" w:hAnsi="Times New Roman"/>
          <w:sz w:val="24"/>
          <w:szCs w:val="24"/>
        </w:rPr>
        <w:t>manager</w:t>
      </w:r>
      <w:r w:rsidR="001E755B">
        <w:rPr>
          <w:rFonts w:ascii="Times New Roman" w:hAnsi="Times New Roman"/>
          <w:sz w:val="24"/>
          <w:szCs w:val="24"/>
        </w:rPr>
        <w:t>, M</w:t>
      </w:r>
      <w:r w:rsidR="00815A2C">
        <w:rPr>
          <w:rFonts w:ascii="Times New Roman" w:hAnsi="Times New Roman"/>
          <w:sz w:val="24"/>
          <w:szCs w:val="24"/>
        </w:rPr>
        <w:t>s</w:t>
      </w:r>
      <w:r w:rsidR="001E755B">
        <w:rPr>
          <w:rFonts w:ascii="Times New Roman" w:hAnsi="Times New Roman"/>
          <w:sz w:val="24"/>
          <w:szCs w:val="24"/>
        </w:rPr>
        <w:t xml:space="preserve">. </w:t>
      </w:r>
      <w:r w:rsidR="00815A2C">
        <w:rPr>
          <w:rFonts w:ascii="Times New Roman" w:hAnsi="Times New Roman"/>
          <w:sz w:val="24"/>
          <w:szCs w:val="24"/>
        </w:rPr>
        <w:t>Saccoci</w:t>
      </w:r>
      <w:r w:rsidR="001E755B">
        <w:rPr>
          <w:rFonts w:ascii="Times New Roman" w:hAnsi="Times New Roman"/>
          <w:sz w:val="24"/>
          <w:szCs w:val="24"/>
        </w:rPr>
        <w:t>o is knowledgeable regarding past and present office procedures as they relate to statutory notices.</w:t>
      </w:r>
      <w:r w:rsidR="00815A2C">
        <w:rPr>
          <w:rFonts w:ascii="Times New Roman" w:hAnsi="Times New Roman"/>
          <w:sz w:val="24"/>
          <w:szCs w:val="24"/>
        </w:rPr>
        <w:t xml:space="preserve">  Ms. Saccocio’s official title is Associate Administrative Analyst, and her duties include managing the staff that delivers mail to branch offices of the United States </w:t>
      </w:r>
      <w:r w:rsidR="00596C39" w:rsidRPr="00A262CE">
        <w:rPr>
          <w:rFonts w:ascii="Times New Roman" w:hAnsi="Times New Roman"/>
          <w:sz w:val="24"/>
          <w:szCs w:val="24"/>
        </w:rPr>
        <w:t>Postal Service</w:t>
      </w:r>
      <w:r w:rsidR="00596C39" w:rsidRPr="003718F6">
        <w:rPr>
          <w:rFonts w:ascii="Times New Roman" w:hAnsi="Times New Roman"/>
          <w:color w:val="FF0000"/>
          <w:sz w:val="24"/>
          <w:szCs w:val="24"/>
        </w:rPr>
        <w:t xml:space="preserve"> </w:t>
      </w:r>
      <w:r w:rsidR="00596C39" w:rsidRPr="00A262CE">
        <w:rPr>
          <w:rFonts w:ascii="Times New Roman" w:hAnsi="Times New Roman"/>
          <w:sz w:val="24"/>
          <w:szCs w:val="24"/>
        </w:rPr>
        <w:t>(USPS)</w:t>
      </w:r>
      <w:r w:rsidR="00815A2C" w:rsidRPr="00A262CE">
        <w:rPr>
          <w:rFonts w:ascii="Times New Roman" w:hAnsi="Times New Roman"/>
          <w:sz w:val="24"/>
          <w:szCs w:val="24"/>
        </w:rPr>
        <w:t>.</w:t>
      </w:r>
    </w:p>
    <w:p w14:paraId="6066BE36" w14:textId="3CD23929" w:rsidR="009A3EA5" w:rsidRPr="00911A38" w:rsidRDefault="00911A38" w:rsidP="00911A38">
      <w:pPr>
        <w:pStyle w:val="ListParagraph"/>
        <w:numPr>
          <w:ilvl w:val="0"/>
          <w:numId w:val="7"/>
        </w:numPr>
        <w:spacing w:after="0" w:line="480" w:lineRule="auto"/>
        <w:ind w:left="0" w:firstLine="720"/>
        <w:rPr>
          <w:rFonts w:ascii="Times New Roman" w:hAnsi="Times New Roman"/>
          <w:sz w:val="24"/>
          <w:szCs w:val="24"/>
        </w:rPr>
      </w:pPr>
      <w:r>
        <w:rPr>
          <w:rFonts w:ascii="Times New Roman" w:hAnsi="Times New Roman"/>
          <w:sz w:val="24"/>
          <w:szCs w:val="24"/>
        </w:rPr>
        <w:t xml:space="preserve">  </w:t>
      </w:r>
      <w:r w:rsidR="001E755B" w:rsidRPr="00911A38">
        <w:rPr>
          <w:rFonts w:ascii="Times New Roman" w:hAnsi="Times New Roman"/>
          <w:sz w:val="24"/>
          <w:szCs w:val="24"/>
        </w:rPr>
        <w:t xml:space="preserve">The mail room receives statutory notices that are ready for mailing in an “Outgoing Certified Mail” area.  The mail room also receives the corresponding </w:t>
      </w:r>
      <w:r w:rsidR="00AE3BCD" w:rsidRPr="00911A38">
        <w:rPr>
          <w:rFonts w:ascii="Times New Roman" w:hAnsi="Times New Roman"/>
          <w:sz w:val="24"/>
          <w:szCs w:val="24"/>
        </w:rPr>
        <w:t>CMR</w:t>
      </w:r>
      <w:r w:rsidR="001E755B" w:rsidRPr="00911A38">
        <w:rPr>
          <w:rFonts w:ascii="Times New Roman" w:hAnsi="Times New Roman"/>
          <w:sz w:val="24"/>
          <w:szCs w:val="24"/>
        </w:rPr>
        <w:t xml:space="preserve"> for each batch of notices.  </w:t>
      </w:r>
      <w:r>
        <w:rPr>
          <w:rFonts w:ascii="Times New Roman" w:hAnsi="Times New Roman"/>
          <w:sz w:val="24"/>
          <w:szCs w:val="24"/>
        </w:rPr>
        <w:t>A</w:t>
      </w:r>
      <w:r w:rsidR="001E755B" w:rsidRPr="00911A38">
        <w:rPr>
          <w:rFonts w:ascii="Times New Roman" w:hAnsi="Times New Roman"/>
          <w:sz w:val="24"/>
          <w:szCs w:val="24"/>
        </w:rPr>
        <w:t xml:space="preserve"> staff member receives the notices and mailing cover sheets and operates a machine that puts each notice and mailing cover sheet in a windowed envelope.</w:t>
      </w:r>
      <w:r w:rsidR="00BF28F4" w:rsidRPr="00911A38">
        <w:rPr>
          <w:rFonts w:ascii="Times New Roman" w:hAnsi="Times New Roman"/>
          <w:sz w:val="24"/>
          <w:szCs w:val="24"/>
        </w:rPr>
        <w:t xml:space="preserve"> </w:t>
      </w:r>
      <w:r w:rsidR="009B4F82" w:rsidRPr="00911A38">
        <w:rPr>
          <w:rFonts w:ascii="Times New Roman" w:hAnsi="Times New Roman"/>
          <w:sz w:val="24"/>
          <w:szCs w:val="24"/>
        </w:rPr>
        <w:t xml:space="preserve"> That staff member then weigh</w:t>
      </w:r>
      <w:r w:rsidR="00AC6627" w:rsidRPr="00911A38">
        <w:rPr>
          <w:rFonts w:ascii="Times New Roman" w:hAnsi="Times New Roman"/>
          <w:sz w:val="24"/>
          <w:szCs w:val="24"/>
        </w:rPr>
        <w:t>s</w:t>
      </w:r>
      <w:r w:rsidR="009B4F82" w:rsidRPr="00911A38">
        <w:rPr>
          <w:rFonts w:ascii="Times New Roman" w:hAnsi="Times New Roman"/>
          <w:sz w:val="24"/>
          <w:szCs w:val="24"/>
        </w:rPr>
        <w:t xml:space="preserve">, seals, and places postage on each envelope.  A clerk then checks the first and last pieces of certified mail against the information contained on the </w:t>
      </w:r>
      <w:r w:rsidR="00AE3BCD" w:rsidRPr="00911A38">
        <w:rPr>
          <w:rFonts w:ascii="Times New Roman" w:hAnsi="Times New Roman"/>
          <w:sz w:val="24"/>
          <w:szCs w:val="24"/>
        </w:rPr>
        <w:t>CMR</w:t>
      </w:r>
      <w:r w:rsidR="009B4F82" w:rsidRPr="00911A38">
        <w:rPr>
          <w:rFonts w:ascii="Times New Roman" w:hAnsi="Times New Roman"/>
          <w:sz w:val="24"/>
          <w:szCs w:val="24"/>
        </w:rPr>
        <w:t>.</w:t>
      </w:r>
      <w:r w:rsidR="00BF28F4" w:rsidRPr="00911A38">
        <w:rPr>
          <w:rFonts w:ascii="Times New Roman" w:hAnsi="Times New Roman"/>
          <w:sz w:val="24"/>
          <w:szCs w:val="24"/>
        </w:rPr>
        <w:t xml:space="preserve"> </w:t>
      </w:r>
      <w:r w:rsidR="002014EE" w:rsidRPr="00911A38">
        <w:rPr>
          <w:rFonts w:ascii="Times New Roman" w:hAnsi="Times New Roman"/>
          <w:sz w:val="24"/>
          <w:szCs w:val="24"/>
        </w:rPr>
        <w:t xml:space="preserve"> A clerk will also perform a random review of up to 30 pieces of certified mail listed on the </w:t>
      </w:r>
      <w:r w:rsidR="00AE3BCD" w:rsidRPr="00911A38">
        <w:rPr>
          <w:rFonts w:ascii="Times New Roman" w:hAnsi="Times New Roman"/>
          <w:sz w:val="24"/>
          <w:szCs w:val="24"/>
        </w:rPr>
        <w:t>CMR</w:t>
      </w:r>
      <w:r w:rsidR="002014EE" w:rsidRPr="00911A38">
        <w:rPr>
          <w:rFonts w:ascii="Times New Roman" w:hAnsi="Times New Roman"/>
          <w:sz w:val="24"/>
          <w:szCs w:val="24"/>
        </w:rPr>
        <w:t xml:space="preserve"> by checking those envelopes against the information listed on the </w:t>
      </w:r>
      <w:r w:rsidR="00AE3BCD" w:rsidRPr="00911A38">
        <w:rPr>
          <w:rFonts w:ascii="Times New Roman" w:hAnsi="Times New Roman"/>
          <w:sz w:val="24"/>
          <w:szCs w:val="24"/>
        </w:rPr>
        <w:t>CMR</w:t>
      </w:r>
      <w:r w:rsidR="002014EE" w:rsidRPr="00911A38">
        <w:rPr>
          <w:rFonts w:ascii="Times New Roman" w:hAnsi="Times New Roman"/>
          <w:sz w:val="24"/>
          <w:szCs w:val="24"/>
        </w:rPr>
        <w:t>.</w:t>
      </w:r>
      <w:r w:rsidR="00AF595E" w:rsidRPr="00911A38">
        <w:rPr>
          <w:rFonts w:ascii="Times New Roman" w:hAnsi="Times New Roman"/>
          <w:sz w:val="24"/>
          <w:szCs w:val="24"/>
        </w:rPr>
        <w:t xml:space="preserve">  A staff member then delivers the envelopes and the </w:t>
      </w:r>
      <w:r w:rsidR="00AE3BCD" w:rsidRPr="00911A38">
        <w:rPr>
          <w:rFonts w:ascii="Times New Roman" w:hAnsi="Times New Roman"/>
          <w:sz w:val="24"/>
          <w:szCs w:val="24"/>
        </w:rPr>
        <w:t>CMR</w:t>
      </w:r>
      <w:r w:rsidR="00AF595E" w:rsidRPr="00911A38">
        <w:rPr>
          <w:rFonts w:ascii="Times New Roman" w:hAnsi="Times New Roman"/>
          <w:sz w:val="24"/>
          <w:szCs w:val="24"/>
        </w:rPr>
        <w:t xml:space="preserve"> to one of the various USPS branches located in </w:t>
      </w:r>
      <w:r w:rsidR="00D57F4D" w:rsidRPr="00911A38">
        <w:rPr>
          <w:rFonts w:ascii="Times New Roman" w:hAnsi="Times New Roman"/>
          <w:sz w:val="24"/>
          <w:szCs w:val="24"/>
        </w:rPr>
        <w:t xml:space="preserve">the </w:t>
      </w:r>
      <w:r w:rsidR="00AF595E" w:rsidRPr="00911A38">
        <w:rPr>
          <w:rFonts w:ascii="Times New Roman" w:hAnsi="Times New Roman"/>
          <w:sz w:val="24"/>
          <w:szCs w:val="24"/>
        </w:rPr>
        <w:t>Albany, New York</w:t>
      </w:r>
      <w:r w:rsidR="009044F5">
        <w:rPr>
          <w:rFonts w:ascii="Times New Roman" w:hAnsi="Times New Roman"/>
          <w:sz w:val="24"/>
          <w:szCs w:val="24"/>
        </w:rPr>
        <w:t>,</w:t>
      </w:r>
      <w:r w:rsidR="00D57F4D" w:rsidRPr="00911A38">
        <w:rPr>
          <w:rFonts w:ascii="Times New Roman" w:hAnsi="Times New Roman"/>
          <w:sz w:val="24"/>
          <w:szCs w:val="24"/>
        </w:rPr>
        <w:t xml:space="preserve"> area.  A USPS employee affixes a postmark and writ</w:t>
      </w:r>
      <w:r w:rsidR="00E80255" w:rsidRPr="00911A38">
        <w:rPr>
          <w:rFonts w:ascii="Times New Roman" w:hAnsi="Times New Roman"/>
          <w:sz w:val="24"/>
          <w:szCs w:val="24"/>
        </w:rPr>
        <w:t>e</w:t>
      </w:r>
      <w:r w:rsidR="00D57F4D" w:rsidRPr="00911A38">
        <w:rPr>
          <w:rFonts w:ascii="Times New Roman" w:hAnsi="Times New Roman"/>
          <w:sz w:val="24"/>
          <w:szCs w:val="24"/>
        </w:rPr>
        <w:t xml:space="preserve">s his or her initials or signature on the </w:t>
      </w:r>
      <w:r w:rsidR="00AE3BCD" w:rsidRPr="00911A38">
        <w:rPr>
          <w:rFonts w:ascii="Times New Roman" w:hAnsi="Times New Roman"/>
          <w:sz w:val="24"/>
          <w:szCs w:val="24"/>
        </w:rPr>
        <w:t>CMR</w:t>
      </w:r>
      <w:r w:rsidR="00D57F4D" w:rsidRPr="00911A38">
        <w:rPr>
          <w:rFonts w:ascii="Times New Roman" w:hAnsi="Times New Roman"/>
          <w:sz w:val="24"/>
          <w:szCs w:val="24"/>
        </w:rPr>
        <w:t>, indicating receipt by the post office.</w:t>
      </w:r>
      <w:r w:rsidR="00315672" w:rsidRPr="00911A38">
        <w:rPr>
          <w:rFonts w:ascii="Times New Roman" w:hAnsi="Times New Roman"/>
          <w:sz w:val="24"/>
          <w:szCs w:val="24"/>
        </w:rPr>
        <w:t xml:space="preserve">  </w:t>
      </w:r>
      <w:r w:rsidR="005C763D" w:rsidRPr="00911A38">
        <w:rPr>
          <w:rFonts w:ascii="Times New Roman" w:hAnsi="Times New Roman"/>
          <w:sz w:val="24"/>
          <w:szCs w:val="24"/>
        </w:rPr>
        <w:t xml:space="preserve">The mail room also requests that the USPS either circle the total number of pieces received or indicate the total number of pieces received by writing the number on the </w:t>
      </w:r>
      <w:r w:rsidR="00AE3BCD" w:rsidRPr="00911A38">
        <w:rPr>
          <w:rFonts w:ascii="Times New Roman" w:hAnsi="Times New Roman"/>
          <w:sz w:val="24"/>
          <w:szCs w:val="24"/>
        </w:rPr>
        <w:t>CMR</w:t>
      </w:r>
      <w:r w:rsidR="000463BF" w:rsidRPr="00911A38">
        <w:rPr>
          <w:rFonts w:ascii="Times New Roman" w:hAnsi="Times New Roman"/>
          <w:sz w:val="24"/>
          <w:szCs w:val="24"/>
        </w:rPr>
        <w:t xml:space="preserve">.  The </w:t>
      </w:r>
      <w:r w:rsidR="00AE3BCD" w:rsidRPr="00911A38">
        <w:rPr>
          <w:rFonts w:ascii="Times New Roman" w:hAnsi="Times New Roman"/>
          <w:sz w:val="24"/>
          <w:szCs w:val="24"/>
        </w:rPr>
        <w:t>CMR</w:t>
      </w:r>
      <w:r w:rsidR="000463BF" w:rsidRPr="00911A38">
        <w:rPr>
          <w:rFonts w:ascii="Times New Roman" w:hAnsi="Times New Roman"/>
          <w:sz w:val="24"/>
          <w:szCs w:val="24"/>
        </w:rPr>
        <w:t xml:space="preserve"> is picked up at the USPS the following day by a member of the mail room staff and is delivered to other </w:t>
      </w:r>
      <w:r w:rsidR="00544D0E" w:rsidRPr="00911A38">
        <w:rPr>
          <w:rFonts w:ascii="Times New Roman" w:hAnsi="Times New Roman"/>
          <w:sz w:val="24"/>
          <w:szCs w:val="24"/>
        </w:rPr>
        <w:t>Division</w:t>
      </w:r>
      <w:r w:rsidR="000463BF" w:rsidRPr="00911A38">
        <w:rPr>
          <w:rFonts w:ascii="Times New Roman" w:hAnsi="Times New Roman"/>
          <w:sz w:val="24"/>
          <w:szCs w:val="24"/>
        </w:rPr>
        <w:t xml:space="preserve"> personnel for storage and retention.</w:t>
      </w:r>
      <w:r w:rsidR="00865E41" w:rsidRPr="00911A38">
        <w:rPr>
          <w:rFonts w:ascii="Times New Roman" w:hAnsi="Times New Roman"/>
          <w:sz w:val="24"/>
          <w:szCs w:val="24"/>
        </w:rPr>
        <w:t xml:space="preserve">  The </w:t>
      </w:r>
      <w:r w:rsidR="00AE3BCD" w:rsidRPr="00911A38">
        <w:rPr>
          <w:rFonts w:ascii="Times New Roman" w:hAnsi="Times New Roman"/>
          <w:sz w:val="24"/>
          <w:szCs w:val="24"/>
        </w:rPr>
        <w:t>CMR</w:t>
      </w:r>
      <w:r w:rsidR="00865E41" w:rsidRPr="00911A38">
        <w:rPr>
          <w:rFonts w:ascii="Times New Roman" w:hAnsi="Times New Roman"/>
          <w:sz w:val="24"/>
          <w:szCs w:val="24"/>
        </w:rPr>
        <w:t xml:space="preserve"> retrieved from the USPS is the Division’s record of receipt by the USPS for the pieces of certified mail </w:t>
      </w:r>
      <w:r w:rsidR="009A3EA5" w:rsidRPr="00911A38">
        <w:rPr>
          <w:rFonts w:ascii="Times New Roman" w:hAnsi="Times New Roman"/>
          <w:sz w:val="24"/>
          <w:szCs w:val="24"/>
        </w:rPr>
        <w:t>listed thereon.</w:t>
      </w:r>
    </w:p>
    <w:p w14:paraId="30916F9B" w14:textId="18588AAA" w:rsidR="00416E02" w:rsidRDefault="00914119" w:rsidP="009A3EA5">
      <w:pPr>
        <w:pStyle w:val="ListParagraph"/>
        <w:numPr>
          <w:ilvl w:val="0"/>
          <w:numId w:val="7"/>
        </w:numPr>
        <w:spacing w:after="0" w:line="480" w:lineRule="auto"/>
        <w:ind w:left="0" w:firstLine="720"/>
        <w:rPr>
          <w:rFonts w:ascii="Times New Roman" w:hAnsi="Times New Roman"/>
          <w:sz w:val="24"/>
          <w:szCs w:val="24"/>
        </w:rPr>
      </w:pPr>
      <w:r>
        <w:rPr>
          <w:rFonts w:ascii="Times New Roman" w:hAnsi="Times New Roman"/>
          <w:sz w:val="24"/>
          <w:szCs w:val="24"/>
        </w:rPr>
        <w:lastRenderedPageBreak/>
        <w:t xml:space="preserve">  </w:t>
      </w:r>
      <w:r w:rsidR="008C3AEE">
        <w:rPr>
          <w:rFonts w:ascii="Times New Roman" w:hAnsi="Times New Roman"/>
          <w:sz w:val="24"/>
          <w:szCs w:val="24"/>
        </w:rPr>
        <w:t>M</w:t>
      </w:r>
      <w:r w:rsidR="00F759DD">
        <w:rPr>
          <w:rFonts w:ascii="Times New Roman" w:hAnsi="Times New Roman"/>
          <w:sz w:val="24"/>
          <w:szCs w:val="24"/>
        </w:rPr>
        <w:t>s</w:t>
      </w:r>
      <w:r w:rsidR="008C3AEE">
        <w:rPr>
          <w:rFonts w:ascii="Times New Roman" w:hAnsi="Times New Roman"/>
          <w:sz w:val="24"/>
          <w:szCs w:val="24"/>
        </w:rPr>
        <w:t xml:space="preserve">. </w:t>
      </w:r>
      <w:r w:rsidR="00F759DD">
        <w:rPr>
          <w:rFonts w:ascii="Times New Roman" w:hAnsi="Times New Roman"/>
          <w:sz w:val="24"/>
          <w:szCs w:val="24"/>
        </w:rPr>
        <w:t>Saccocio</w:t>
      </w:r>
      <w:r w:rsidR="008C3AEE">
        <w:rPr>
          <w:rFonts w:ascii="Times New Roman" w:hAnsi="Times New Roman"/>
          <w:sz w:val="24"/>
          <w:szCs w:val="24"/>
        </w:rPr>
        <w:t xml:space="preserve"> avers that each page of the CMR in exhibit “A” of the Picard affidavit contains a postmark of </w:t>
      </w:r>
      <w:r w:rsidR="00F759DD">
        <w:rPr>
          <w:rFonts w:ascii="Times New Roman" w:hAnsi="Times New Roman"/>
          <w:sz w:val="24"/>
          <w:szCs w:val="24"/>
        </w:rPr>
        <w:t>November 9</w:t>
      </w:r>
      <w:r w:rsidR="008C3AEE">
        <w:rPr>
          <w:rFonts w:ascii="Times New Roman" w:hAnsi="Times New Roman"/>
          <w:sz w:val="24"/>
          <w:szCs w:val="24"/>
        </w:rPr>
        <w:t>, 201</w:t>
      </w:r>
      <w:r w:rsidR="00F759DD">
        <w:rPr>
          <w:rFonts w:ascii="Times New Roman" w:hAnsi="Times New Roman"/>
          <w:sz w:val="24"/>
          <w:szCs w:val="24"/>
        </w:rPr>
        <w:t>8</w:t>
      </w:r>
      <w:r w:rsidR="008C3AEE">
        <w:rPr>
          <w:rFonts w:ascii="Times New Roman" w:hAnsi="Times New Roman"/>
          <w:sz w:val="24"/>
          <w:szCs w:val="24"/>
        </w:rPr>
        <w:t xml:space="preserve"> and that a USPS employee initialed or signed page </w:t>
      </w:r>
      <w:r w:rsidR="000B39C0">
        <w:rPr>
          <w:rFonts w:ascii="Times New Roman" w:hAnsi="Times New Roman"/>
          <w:sz w:val="24"/>
          <w:szCs w:val="24"/>
        </w:rPr>
        <w:t>2</w:t>
      </w:r>
      <w:r w:rsidR="008C3AEE">
        <w:rPr>
          <w:rFonts w:ascii="Times New Roman" w:hAnsi="Times New Roman"/>
          <w:sz w:val="24"/>
          <w:szCs w:val="24"/>
        </w:rPr>
        <w:t xml:space="preserve"> of the CMR and wrote the total number of pieces of certified mail.  A review of the CMR confirms this assertion.</w:t>
      </w:r>
    </w:p>
    <w:p w14:paraId="59D6EEB9" w14:textId="479A3D14" w:rsidR="0020491F" w:rsidRPr="009A3EA5" w:rsidRDefault="00416E02" w:rsidP="009A3EA5">
      <w:pPr>
        <w:pStyle w:val="ListParagraph"/>
        <w:numPr>
          <w:ilvl w:val="0"/>
          <w:numId w:val="7"/>
        </w:numPr>
        <w:spacing w:after="0" w:line="480" w:lineRule="auto"/>
        <w:ind w:left="0" w:firstLine="720"/>
        <w:rPr>
          <w:rFonts w:ascii="Times New Roman" w:hAnsi="Times New Roman"/>
          <w:sz w:val="24"/>
          <w:szCs w:val="24"/>
        </w:rPr>
      </w:pPr>
      <w:r>
        <w:rPr>
          <w:rFonts w:ascii="Times New Roman" w:hAnsi="Times New Roman"/>
          <w:sz w:val="24"/>
          <w:szCs w:val="24"/>
        </w:rPr>
        <w:t xml:space="preserve">  Based on h</w:t>
      </w:r>
      <w:r w:rsidR="000B39C0">
        <w:rPr>
          <w:rFonts w:ascii="Times New Roman" w:hAnsi="Times New Roman"/>
          <w:sz w:val="24"/>
          <w:szCs w:val="24"/>
        </w:rPr>
        <w:t>er</w:t>
      </w:r>
      <w:r>
        <w:rPr>
          <w:rFonts w:ascii="Times New Roman" w:hAnsi="Times New Roman"/>
          <w:sz w:val="24"/>
          <w:szCs w:val="24"/>
        </w:rPr>
        <w:t xml:space="preserve"> review of the affidavit of Ms. Picard and the exhibits attached thereto, including the CMR, and h</w:t>
      </w:r>
      <w:r w:rsidR="000B39C0">
        <w:rPr>
          <w:rFonts w:ascii="Times New Roman" w:hAnsi="Times New Roman"/>
          <w:sz w:val="24"/>
          <w:szCs w:val="24"/>
        </w:rPr>
        <w:t xml:space="preserve">er </w:t>
      </w:r>
      <w:r>
        <w:rPr>
          <w:rFonts w:ascii="Times New Roman" w:hAnsi="Times New Roman"/>
          <w:sz w:val="24"/>
          <w:szCs w:val="24"/>
        </w:rPr>
        <w:t>personal knowledge of the procedures of the mail room, M</w:t>
      </w:r>
      <w:r w:rsidR="000B39C0">
        <w:rPr>
          <w:rFonts w:ascii="Times New Roman" w:hAnsi="Times New Roman"/>
          <w:sz w:val="24"/>
          <w:szCs w:val="24"/>
        </w:rPr>
        <w:t>s</w:t>
      </w:r>
      <w:r>
        <w:rPr>
          <w:rFonts w:ascii="Times New Roman" w:hAnsi="Times New Roman"/>
          <w:sz w:val="24"/>
          <w:szCs w:val="24"/>
        </w:rPr>
        <w:t xml:space="preserve">. </w:t>
      </w:r>
      <w:r w:rsidR="000B39C0">
        <w:rPr>
          <w:rFonts w:ascii="Times New Roman" w:hAnsi="Times New Roman"/>
          <w:sz w:val="24"/>
          <w:szCs w:val="24"/>
        </w:rPr>
        <w:t>Saccocio</w:t>
      </w:r>
      <w:r>
        <w:rPr>
          <w:rFonts w:ascii="Times New Roman" w:hAnsi="Times New Roman"/>
          <w:sz w:val="24"/>
          <w:szCs w:val="24"/>
        </w:rPr>
        <w:t xml:space="preserve"> stated that on </w:t>
      </w:r>
      <w:r w:rsidR="000B39C0">
        <w:rPr>
          <w:rFonts w:ascii="Times New Roman" w:hAnsi="Times New Roman"/>
          <w:sz w:val="24"/>
          <w:szCs w:val="24"/>
        </w:rPr>
        <w:t>November 9, 20</w:t>
      </w:r>
      <w:r>
        <w:rPr>
          <w:rFonts w:ascii="Times New Roman" w:hAnsi="Times New Roman"/>
          <w:sz w:val="24"/>
          <w:szCs w:val="24"/>
        </w:rPr>
        <w:t>1</w:t>
      </w:r>
      <w:r w:rsidR="000B39C0">
        <w:rPr>
          <w:rFonts w:ascii="Times New Roman" w:hAnsi="Times New Roman"/>
          <w:sz w:val="24"/>
          <w:szCs w:val="24"/>
        </w:rPr>
        <w:t>8</w:t>
      </w:r>
      <w:r>
        <w:rPr>
          <w:rFonts w:ascii="Times New Roman" w:hAnsi="Times New Roman"/>
          <w:sz w:val="24"/>
          <w:szCs w:val="24"/>
        </w:rPr>
        <w:t xml:space="preserve">, an employee of the mail room delivered one piece of certified mail addressed </w:t>
      </w:r>
      <w:r w:rsidR="00596C39" w:rsidRPr="00F571B7">
        <w:rPr>
          <w:rFonts w:ascii="Times New Roman" w:hAnsi="Times New Roman"/>
          <w:sz w:val="24"/>
          <w:szCs w:val="24"/>
        </w:rPr>
        <w:t>to</w:t>
      </w:r>
      <w:r w:rsidR="00596C39">
        <w:rPr>
          <w:rFonts w:ascii="Times New Roman" w:hAnsi="Times New Roman"/>
          <w:color w:val="FF0000"/>
          <w:sz w:val="24"/>
          <w:szCs w:val="24"/>
        </w:rPr>
        <w:t xml:space="preserve"> </w:t>
      </w:r>
      <w:r>
        <w:rPr>
          <w:rFonts w:ascii="Times New Roman" w:hAnsi="Times New Roman"/>
          <w:sz w:val="24"/>
          <w:szCs w:val="24"/>
        </w:rPr>
        <w:t>petitioner</w:t>
      </w:r>
      <w:r w:rsidR="000B39C0">
        <w:rPr>
          <w:rFonts w:ascii="Times New Roman" w:hAnsi="Times New Roman"/>
          <w:sz w:val="24"/>
          <w:szCs w:val="24"/>
        </w:rPr>
        <w:t>s</w:t>
      </w:r>
      <w:r>
        <w:rPr>
          <w:rFonts w:ascii="Times New Roman" w:hAnsi="Times New Roman"/>
          <w:sz w:val="24"/>
          <w:szCs w:val="24"/>
        </w:rPr>
        <w:t xml:space="preserve"> at </w:t>
      </w:r>
      <w:r w:rsidR="000B39C0">
        <w:rPr>
          <w:rFonts w:ascii="Times New Roman" w:hAnsi="Times New Roman"/>
          <w:sz w:val="24"/>
          <w:szCs w:val="24"/>
        </w:rPr>
        <w:t>their Brooklyn</w:t>
      </w:r>
      <w:r>
        <w:rPr>
          <w:rFonts w:ascii="Times New Roman" w:hAnsi="Times New Roman"/>
          <w:sz w:val="24"/>
          <w:szCs w:val="24"/>
        </w:rPr>
        <w:t>, New York</w:t>
      </w:r>
      <w:r w:rsidR="00197738">
        <w:rPr>
          <w:rFonts w:ascii="Times New Roman" w:hAnsi="Times New Roman"/>
          <w:sz w:val="24"/>
          <w:szCs w:val="24"/>
        </w:rPr>
        <w:t>,</w:t>
      </w:r>
      <w:r w:rsidR="000B39C0">
        <w:rPr>
          <w:rFonts w:ascii="Times New Roman" w:hAnsi="Times New Roman"/>
          <w:sz w:val="24"/>
          <w:szCs w:val="24"/>
        </w:rPr>
        <w:t xml:space="preserve"> address</w:t>
      </w:r>
      <w:r>
        <w:rPr>
          <w:rFonts w:ascii="Times New Roman" w:hAnsi="Times New Roman"/>
          <w:sz w:val="24"/>
          <w:szCs w:val="24"/>
        </w:rPr>
        <w:t xml:space="preserve"> in a sealed postpaid envelope for delivery.  </w:t>
      </w:r>
      <w:r w:rsidR="000B39C0">
        <w:rPr>
          <w:rFonts w:ascii="Times New Roman" w:hAnsi="Times New Roman"/>
          <w:sz w:val="24"/>
          <w:szCs w:val="24"/>
        </w:rPr>
        <w:t>Sh</w:t>
      </w:r>
      <w:r>
        <w:rPr>
          <w:rFonts w:ascii="Times New Roman" w:hAnsi="Times New Roman"/>
          <w:sz w:val="24"/>
          <w:szCs w:val="24"/>
        </w:rPr>
        <w:t xml:space="preserve">e also stated the CMR delivered to the USPS on </w:t>
      </w:r>
      <w:r w:rsidR="000B39C0">
        <w:rPr>
          <w:rFonts w:ascii="Times New Roman" w:hAnsi="Times New Roman"/>
          <w:sz w:val="24"/>
          <w:szCs w:val="24"/>
        </w:rPr>
        <w:t>November 9</w:t>
      </w:r>
      <w:r>
        <w:rPr>
          <w:rFonts w:ascii="Times New Roman" w:hAnsi="Times New Roman"/>
          <w:sz w:val="24"/>
          <w:szCs w:val="24"/>
        </w:rPr>
        <w:t>, 201</w:t>
      </w:r>
      <w:r w:rsidR="000B39C0">
        <w:rPr>
          <w:rFonts w:ascii="Times New Roman" w:hAnsi="Times New Roman"/>
          <w:sz w:val="24"/>
          <w:szCs w:val="24"/>
        </w:rPr>
        <w:t>8</w:t>
      </w:r>
      <w:r>
        <w:rPr>
          <w:rFonts w:ascii="Times New Roman" w:hAnsi="Times New Roman"/>
          <w:sz w:val="24"/>
          <w:szCs w:val="24"/>
        </w:rPr>
        <w:t xml:space="preserve"> was returned to the Division.  M</w:t>
      </w:r>
      <w:r w:rsidR="000B39C0">
        <w:rPr>
          <w:rFonts w:ascii="Times New Roman" w:hAnsi="Times New Roman"/>
          <w:sz w:val="24"/>
          <w:szCs w:val="24"/>
        </w:rPr>
        <w:t>s</w:t>
      </w:r>
      <w:r>
        <w:rPr>
          <w:rFonts w:ascii="Times New Roman" w:hAnsi="Times New Roman"/>
          <w:sz w:val="24"/>
          <w:szCs w:val="24"/>
        </w:rPr>
        <w:t xml:space="preserve">. </w:t>
      </w:r>
      <w:r w:rsidR="000B39C0">
        <w:rPr>
          <w:rFonts w:ascii="Times New Roman" w:hAnsi="Times New Roman"/>
          <w:sz w:val="24"/>
          <w:szCs w:val="24"/>
        </w:rPr>
        <w:t>Saccocio</w:t>
      </w:r>
      <w:r>
        <w:rPr>
          <w:rFonts w:ascii="Times New Roman" w:hAnsi="Times New Roman"/>
          <w:sz w:val="24"/>
          <w:szCs w:val="24"/>
        </w:rPr>
        <w:t xml:space="preserve"> attested that the procedures described in h</w:t>
      </w:r>
      <w:r w:rsidR="000B39C0">
        <w:rPr>
          <w:rFonts w:ascii="Times New Roman" w:hAnsi="Times New Roman"/>
          <w:sz w:val="24"/>
          <w:szCs w:val="24"/>
        </w:rPr>
        <w:t>er</w:t>
      </w:r>
      <w:r>
        <w:rPr>
          <w:rFonts w:ascii="Times New Roman" w:hAnsi="Times New Roman"/>
          <w:sz w:val="24"/>
          <w:szCs w:val="24"/>
        </w:rPr>
        <w:t xml:space="preserve"> affidavit were the regular procedures followed by the mail room staff in the ordinary course of business when handling items sent by certified mail and that these procedures were followed in mailing the pieces of certified mail on </w:t>
      </w:r>
      <w:r w:rsidR="00074C50">
        <w:rPr>
          <w:rFonts w:ascii="Times New Roman" w:hAnsi="Times New Roman"/>
          <w:sz w:val="24"/>
          <w:szCs w:val="24"/>
        </w:rPr>
        <w:t>November 9</w:t>
      </w:r>
      <w:r>
        <w:rPr>
          <w:rFonts w:ascii="Times New Roman" w:hAnsi="Times New Roman"/>
          <w:sz w:val="24"/>
          <w:szCs w:val="24"/>
        </w:rPr>
        <w:t>, 201</w:t>
      </w:r>
      <w:r w:rsidR="00074C50">
        <w:rPr>
          <w:rFonts w:ascii="Times New Roman" w:hAnsi="Times New Roman"/>
          <w:sz w:val="24"/>
          <w:szCs w:val="24"/>
        </w:rPr>
        <w:t>8</w:t>
      </w:r>
      <w:r>
        <w:rPr>
          <w:rFonts w:ascii="Times New Roman" w:hAnsi="Times New Roman"/>
          <w:sz w:val="24"/>
          <w:szCs w:val="24"/>
        </w:rPr>
        <w:t xml:space="preserve">. </w:t>
      </w:r>
      <w:r w:rsidR="008C3AEE">
        <w:rPr>
          <w:rFonts w:ascii="Times New Roman" w:hAnsi="Times New Roman"/>
          <w:sz w:val="24"/>
          <w:szCs w:val="24"/>
        </w:rPr>
        <w:t xml:space="preserve"> </w:t>
      </w:r>
    </w:p>
    <w:p w14:paraId="6FB72C92" w14:textId="77777777" w:rsidR="00B44C64" w:rsidRDefault="00B44C64" w:rsidP="00B44C64">
      <w:pPr>
        <w:spacing w:after="0" w:line="480" w:lineRule="auto"/>
        <w:jc w:val="center"/>
        <w:rPr>
          <w:rFonts w:ascii="Times New Roman" w:hAnsi="Times New Roman"/>
          <w:b/>
          <w:bCs/>
          <w:i/>
          <w:iCs/>
          <w:sz w:val="24"/>
          <w:szCs w:val="24"/>
        </w:rPr>
      </w:pPr>
      <w:r>
        <w:rPr>
          <w:rFonts w:ascii="Times New Roman" w:hAnsi="Times New Roman"/>
          <w:b/>
          <w:bCs/>
          <w:i/>
          <w:iCs/>
          <w:sz w:val="24"/>
          <w:szCs w:val="24"/>
        </w:rPr>
        <w:t>CONCLUSIONS OF LAW</w:t>
      </w:r>
    </w:p>
    <w:p w14:paraId="6135C1AB" w14:textId="163AF64E" w:rsidR="00B44C64" w:rsidRDefault="00B44C64" w:rsidP="00B44C64">
      <w:pPr>
        <w:pStyle w:val="ListParagraph"/>
        <w:numPr>
          <w:ilvl w:val="0"/>
          <w:numId w:val="9"/>
        </w:numPr>
        <w:spacing w:after="0" w:line="480" w:lineRule="auto"/>
        <w:ind w:left="0" w:firstLine="720"/>
        <w:rPr>
          <w:rFonts w:ascii="Times New Roman" w:hAnsi="Times New Roman"/>
          <w:sz w:val="24"/>
          <w:szCs w:val="24"/>
        </w:rPr>
      </w:pPr>
      <w:r>
        <w:rPr>
          <w:rFonts w:ascii="Times New Roman" w:hAnsi="Times New Roman"/>
          <w:sz w:val="24"/>
          <w:szCs w:val="24"/>
        </w:rPr>
        <w:t xml:space="preserve">  </w:t>
      </w:r>
      <w:r w:rsidR="00304AC6">
        <w:rPr>
          <w:rFonts w:ascii="Times New Roman" w:hAnsi="Times New Roman"/>
          <w:sz w:val="24"/>
          <w:szCs w:val="24"/>
        </w:rPr>
        <w:t xml:space="preserve">The Division brings this motion to dismiss the petition under section 3000.9 (a) of the Rules of Practice and Procedure </w:t>
      </w:r>
      <w:r w:rsidR="003718F6" w:rsidRPr="00F571B7">
        <w:rPr>
          <w:rFonts w:ascii="Times New Roman" w:hAnsi="Times New Roman"/>
          <w:sz w:val="24"/>
          <w:szCs w:val="24"/>
        </w:rPr>
        <w:t>of the Tax Appeals Tribunal</w:t>
      </w:r>
      <w:r w:rsidR="003718F6">
        <w:rPr>
          <w:rFonts w:ascii="Times New Roman" w:hAnsi="Times New Roman"/>
          <w:color w:val="FF0000"/>
          <w:sz w:val="24"/>
          <w:szCs w:val="24"/>
        </w:rPr>
        <w:t xml:space="preserve"> </w:t>
      </w:r>
      <w:r w:rsidR="00304AC6">
        <w:rPr>
          <w:rFonts w:ascii="Times New Roman" w:hAnsi="Times New Roman"/>
          <w:sz w:val="24"/>
          <w:szCs w:val="24"/>
        </w:rPr>
        <w:t>(Rules) or a motion for summary determination under section 3000.9 (b).  As the petition in this matter was filed within 90 days of the c</w:t>
      </w:r>
      <w:r w:rsidR="007E59FA">
        <w:rPr>
          <w:rFonts w:ascii="Times New Roman" w:hAnsi="Times New Roman"/>
          <w:sz w:val="24"/>
          <w:szCs w:val="24"/>
        </w:rPr>
        <w:t>o</w:t>
      </w:r>
      <w:r w:rsidR="00304AC6">
        <w:rPr>
          <w:rFonts w:ascii="Times New Roman" w:hAnsi="Times New Roman"/>
          <w:sz w:val="24"/>
          <w:szCs w:val="24"/>
        </w:rPr>
        <w:t>nciliation order (</w:t>
      </w:r>
      <w:r w:rsidR="00304AC6" w:rsidRPr="001A7A7A">
        <w:rPr>
          <w:rFonts w:ascii="Times New Roman" w:hAnsi="Times New Roman"/>
          <w:b/>
          <w:bCs/>
          <w:i/>
          <w:iCs/>
          <w:sz w:val="24"/>
          <w:szCs w:val="24"/>
        </w:rPr>
        <w:t>see</w:t>
      </w:r>
      <w:r w:rsidR="00304AC6">
        <w:rPr>
          <w:rFonts w:ascii="Times New Roman" w:hAnsi="Times New Roman"/>
          <w:sz w:val="24"/>
          <w:szCs w:val="24"/>
        </w:rPr>
        <w:t xml:space="preserve"> finding of fact </w:t>
      </w:r>
      <w:r w:rsidR="0008401D">
        <w:rPr>
          <w:rFonts w:ascii="Times New Roman" w:hAnsi="Times New Roman"/>
          <w:sz w:val="24"/>
          <w:szCs w:val="24"/>
        </w:rPr>
        <w:t>4</w:t>
      </w:r>
      <w:r w:rsidR="00304AC6">
        <w:rPr>
          <w:rFonts w:ascii="Times New Roman" w:hAnsi="Times New Roman"/>
          <w:sz w:val="24"/>
          <w:szCs w:val="24"/>
        </w:rPr>
        <w:t xml:space="preserve">), the Division of Tax Appeals has jurisdiction over the petition and a motion for summary determination </w:t>
      </w:r>
      <w:r w:rsidR="00303E79">
        <w:rPr>
          <w:rFonts w:ascii="Times New Roman" w:hAnsi="Times New Roman"/>
          <w:sz w:val="24"/>
          <w:szCs w:val="24"/>
        </w:rPr>
        <w:t>i</w:t>
      </w:r>
      <w:r w:rsidR="00304AC6">
        <w:rPr>
          <w:rFonts w:ascii="Times New Roman" w:hAnsi="Times New Roman"/>
          <w:sz w:val="24"/>
          <w:szCs w:val="24"/>
        </w:rPr>
        <w:t>s the proper motion for relief if petitioners</w:t>
      </w:r>
      <w:r w:rsidR="0008401D">
        <w:rPr>
          <w:rFonts w:ascii="Times New Roman" w:hAnsi="Times New Roman"/>
          <w:sz w:val="24"/>
          <w:szCs w:val="24"/>
        </w:rPr>
        <w:t>’</w:t>
      </w:r>
      <w:r w:rsidR="00304AC6">
        <w:rPr>
          <w:rFonts w:ascii="Times New Roman" w:hAnsi="Times New Roman"/>
          <w:sz w:val="24"/>
          <w:szCs w:val="24"/>
        </w:rPr>
        <w:t xml:space="preserve"> request for conciliation conference was untimely (</w:t>
      </w:r>
      <w:r w:rsidR="00304AC6" w:rsidRPr="00304AC6">
        <w:rPr>
          <w:rFonts w:ascii="Times New Roman" w:hAnsi="Times New Roman"/>
          <w:b/>
          <w:bCs/>
          <w:i/>
          <w:iCs/>
          <w:sz w:val="24"/>
          <w:szCs w:val="24"/>
        </w:rPr>
        <w:t>see Matter of Kallianpur</w:t>
      </w:r>
      <w:r w:rsidR="00304AC6">
        <w:rPr>
          <w:rFonts w:ascii="Times New Roman" w:hAnsi="Times New Roman"/>
          <w:sz w:val="24"/>
          <w:szCs w:val="24"/>
        </w:rPr>
        <w:t xml:space="preserve">, Tax Appeals Tribunal, May </w:t>
      </w:r>
      <w:r w:rsidR="00871DE1">
        <w:rPr>
          <w:rFonts w:ascii="Times New Roman" w:hAnsi="Times New Roman"/>
          <w:sz w:val="24"/>
          <w:szCs w:val="24"/>
        </w:rPr>
        <w:t xml:space="preserve">29, </w:t>
      </w:r>
      <w:r w:rsidR="00304AC6">
        <w:rPr>
          <w:rFonts w:ascii="Times New Roman" w:hAnsi="Times New Roman"/>
          <w:sz w:val="24"/>
          <w:szCs w:val="24"/>
        </w:rPr>
        <w:t>2019).</w:t>
      </w:r>
    </w:p>
    <w:p w14:paraId="0F22B6F4" w14:textId="4F01F4F0" w:rsidR="00C31261" w:rsidRPr="00ED4F3D" w:rsidRDefault="00304AC6" w:rsidP="00ED4F3D">
      <w:pPr>
        <w:pStyle w:val="ListParagraph"/>
        <w:numPr>
          <w:ilvl w:val="0"/>
          <w:numId w:val="9"/>
        </w:numPr>
        <w:spacing w:after="0" w:line="480" w:lineRule="auto"/>
        <w:ind w:left="0" w:firstLine="720"/>
        <w:rPr>
          <w:rFonts w:ascii="Times New Roman" w:hAnsi="Times New Roman"/>
          <w:sz w:val="24"/>
          <w:szCs w:val="24"/>
        </w:rPr>
      </w:pPr>
      <w:r>
        <w:rPr>
          <w:rFonts w:ascii="Times New Roman" w:hAnsi="Times New Roman"/>
          <w:sz w:val="24"/>
          <w:szCs w:val="24"/>
        </w:rPr>
        <w:t xml:space="preserve">  A motion for summary determination “shall be granted if, upon all the papers and proof submitted, the administrative law judge finds that it has been established sufficiently that </w:t>
      </w:r>
      <w:r>
        <w:rPr>
          <w:rFonts w:ascii="Times New Roman" w:hAnsi="Times New Roman"/>
          <w:sz w:val="24"/>
          <w:szCs w:val="24"/>
        </w:rPr>
        <w:lastRenderedPageBreak/>
        <w:t>no material and triable issue of fact is presented” (20 NYCRR 3000.9 [b]).  A motion for summary determination is subject to the same provisions as a motion for summary judgment pursuant to CPLR 3212 (</w:t>
      </w:r>
      <w:r w:rsidRPr="00304AC6">
        <w:rPr>
          <w:rFonts w:ascii="Times New Roman" w:hAnsi="Times New Roman"/>
          <w:b/>
          <w:bCs/>
          <w:i/>
          <w:iCs/>
          <w:sz w:val="24"/>
          <w:szCs w:val="24"/>
        </w:rPr>
        <w:t>see</w:t>
      </w:r>
      <w:r>
        <w:rPr>
          <w:rFonts w:ascii="Times New Roman" w:hAnsi="Times New Roman"/>
          <w:sz w:val="24"/>
          <w:szCs w:val="24"/>
        </w:rPr>
        <w:t xml:space="preserve"> 20 NYCRR 3000.9 [c]).</w:t>
      </w:r>
      <w:r w:rsidR="00C31261" w:rsidRPr="00ED4F3D">
        <w:rPr>
          <w:rFonts w:ascii="Times New Roman" w:hAnsi="Times New Roman"/>
          <w:sz w:val="24"/>
          <w:szCs w:val="24"/>
        </w:rPr>
        <w:t xml:space="preserve"> </w:t>
      </w:r>
      <w:r w:rsidR="00ED4F3D">
        <w:rPr>
          <w:rFonts w:ascii="Times New Roman" w:hAnsi="Times New Roman"/>
          <w:sz w:val="24"/>
          <w:szCs w:val="24"/>
        </w:rPr>
        <w:t xml:space="preserve"> </w:t>
      </w:r>
      <w:r w:rsidR="00C31261" w:rsidRPr="00ED4F3D">
        <w:rPr>
          <w:rFonts w:ascii="Times New Roman" w:hAnsi="Times New Roman"/>
          <w:sz w:val="24"/>
          <w:szCs w:val="24"/>
        </w:rPr>
        <w:t>The proponent of a summary judgment motion must make a prima facie showing of entitle</w:t>
      </w:r>
      <w:r w:rsidR="00C2447C" w:rsidRPr="00ED4F3D">
        <w:rPr>
          <w:rFonts w:ascii="Times New Roman" w:hAnsi="Times New Roman"/>
          <w:sz w:val="24"/>
          <w:szCs w:val="24"/>
        </w:rPr>
        <w:t>ment</w:t>
      </w:r>
      <w:r w:rsidR="00C31261" w:rsidRPr="00ED4F3D">
        <w:rPr>
          <w:rFonts w:ascii="Times New Roman" w:hAnsi="Times New Roman"/>
          <w:sz w:val="24"/>
          <w:szCs w:val="24"/>
        </w:rPr>
        <w:t xml:space="preserve"> to judgment as a matter of law, demonstrating there are no material issues of fact (</w:t>
      </w:r>
      <w:r w:rsidR="00C31261" w:rsidRPr="00ED4F3D">
        <w:rPr>
          <w:rFonts w:ascii="Times New Roman" w:hAnsi="Times New Roman"/>
          <w:b/>
          <w:bCs/>
          <w:i/>
          <w:iCs/>
          <w:sz w:val="24"/>
          <w:szCs w:val="24"/>
        </w:rPr>
        <w:t xml:space="preserve">see Alvarez </w:t>
      </w:r>
      <w:r w:rsidR="00C31261" w:rsidRPr="00C92ABE">
        <w:rPr>
          <w:rFonts w:ascii="Times New Roman" w:hAnsi="Times New Roman"/>
          <w:b/>
          <w:bCs/>
          <w:i/>
          <w:iCs/>
          <w:sz w:val="24"/>
          <w:szCs w:val="24"/>
        </w:rPr>
        <w:t>v</w:t>
      </w:r>
      <w:r w:rsidR="00C92ABE">
        <w:rPr>
          <w:rFonts w:ascii="Times New Roman" w:hAnsi="Times New Roman"/>
          <w:b/>
          <w:bCs/>
          <w:i/>
          <w:iCs/>
          <w:color w:val="FF0000"/>
          <w:sz w:val="24"/>
          <w:szCs w:val="24"/>
        </w:rPr>
        <w:t xml:space="preserve"> </w:t>
      </w:r>
      <w:r w:rsidR="00C31261" w:rsidRPr="00ED4F3D">
        <w:rPr>
          <w:rFonts w:ascii="Times New Roman" w:hAnsi="Times New Roman"/>
          <w:b/>
          <w:bCs/>
          <w:i/>
          <w:iCs/>
          <w:sz w:val="24"/>
          <w:szCs w:val="24"/>
        </w:rPr>
        <w:t>Prospect Hosp.</w:t>
      </w:r>
      <w:r w:rsidR="00C31261" w:rsidRPr="00ED4F3D">
        <w:rPr>
          <w:rFonts w:ascii="Times New Roman" w:hAnsi="Times New Roman"/>
          <w:sz w:val="24"/>
          <w:szCs w:val="24"/>
        </w:rPr>
        <w:t>, 68 NY2d 320, 324 [1986]).</w:t>
      </w:r>
      <w:r w:rsidR="005C09C3" w:rsidRPr="00ED4F3D">
        <w:rPr>
          <w:rFonts w:ascii="Times New Roman" w:hAnsi="Times New Roman"/>
          <w:sz w:val="24"/>
          <w:szCs w:val="24"/>
        </w:rPr>
        <w:t xml:space="preserve">  </w:t>
      </w:r>
      <w:r w:rsidR="000827F9">
        <w:rPr>
          <w:rFonts w:ascii="Times New Roman" w:hAnsi="Times New Roman"/>
          <w:sz w:val="24"/>
          <w:szCs w:val="24"/>
        </w:rPr>
        <w:t>Once this</w:t>
      </w:r>
      <w:r w:rsidR="005C09C3" w:rsidRPr="00ED4F3D">
        <w:rPr>
          <w:rFonts w:ascii="Times New Roman" w:hAnsi="Times New Roman"/>
          <w:sz w:val="24"/>
          <w:szCs w:val="24"/>
        </w:rPr>
        <w:t xml:space="preserve"> showing has been made</w:t>
      </w:r>
      <w:r w:rsidR="000827F9">
        <w:rPr>
          <w:rFonts w:ascii="Times New Roman" w:hAnsi="Times New Roman"/>
          <w:sz w:val="24"/>
          <w:szCs w:val="24"/>
        </w:rPr>
        <w:t>, however,</w:t>
      </w:r>
      <w:r w:rsidR="005C09C3" w:rsidRPr="00ED4F3D">
        <w:rPr>
          <w:rFonts w:ascii="Times New Roman" w:hAnsi="Times New Roman"/>
          <w:sz w:val="24"/>
          <w:szCs w:val="24"/>
        </w:rPr>
        <w:t xml:space="preserve"> the opposing party </w:t>
      </w:r>
      <w:r w:rsidR="000827F9">
        <w:rPr>
          <w:rFonts w:ascii="Times New Roman" w:hAnsi="Times New Roman"/>
          <w:sz w:val="24"/>
          <w:szCs w:val="24"/>
        </w:rPr>
        <w:t xml:space="preserve">must </w:t>
      </w:r>
      <w:r w:rsidR="005C09C3" w:rsidRPr="00ED4F3D">
        <w:rPr>
          <w:rFonts w:ascii="Times New Roman" w:hAnsi="Times New Roman"/>
          <w:sz w:val="24"/>
          <w:szCs w:val="24"/>
        </w:rPr>
        <w:t>set forth evidentiary proof establishing the existence of a material issue of fact</w:t>
      </w:r>
      <w:r w:rsidR="000827F9">
        <w:rPr>
          <w:rFonts w:ascii="Times New Roman" w:hAnsi="Times New Roman"/>
          <w:sz w:val="24"/>
          <w:szCs w:val="24"/>
        </w:rPr>
        <w:t xml:space="preserve"> that requires a trial of the action</w:t>
      </w:r>
      <w:r w:rsidR="005C09C3" w:rsidRPr="00ED4F3D">
        <w:rPr>
          <w:rFonts w:ascii="Times New Roman" w:hAnsi="Times New Roman"/>
          <w:sz w:val="24"/>
          <w:szCs w:val="24"/>
        </w:rPr>
        <w:t xml:space="preserve"> (</w:t>
      </w:r>
      <w:r w:rsidR="00C47E21" w:rsidRPr="00C47E21">
        <w:rPr>
          <w:rFonts w:ascii="Times New Roman" w:hAnsi="Times New Roman"/>
          <w:b/>
          <w:bCs/>
          <w:i/>
          <w:iCs/>
          <w:sz w:val="24"/>
          <w:szCs w:val="24"/>
        </w:rPr>
        <w:t>see</w:t>
      </w:r>
      <w:r w:rsidR="00C47E21">
        <w:rPr>
          <w:rFonts w:ascii="Times New Roman" w:hAnsi="Times New Roman"/>
          <w:sz w:val="24"/>
          <w:szCs w:val="24"/>
        </w:rPr>
        <w:t xml:space="preserve"> </w:t>
      </w:r>
      <w:r w:rsidR="005C09C3" w:rsidRPr="00ED4F3D">
        <w:rPr>
          <w:rFonts w:ascii="Times New Roman" w:hAnsi="Times New Roman"/>
          <w:b/>
          <w:bCs/>
          <w:i/>
          <w:iCs/>
          <w:sz w:val="24"/>
          <w:szCs w:val="24"/>
        </w:rPr>
        <w:t>id.</w:t>
      </w:r>
      <w:r w:rsidR="005C09C3" w:rsidRPr="00ED4F3D">
        <w:rPr>
          <w:rFonts w:ascii="Times New Roman" w:hAnsi="Times New Roman"/>
          <w:sz w:val="24"/>
          <w:szCs w:val="24"/>
        </w:rPr>
        <w:t>).</w:t>
      </w:r>
    </w:p>
    <w:p w14:paraId="783FAF61" w14:textId="15B20B80" w:rsidR="0051123B" w:rsidRDefault="0062451B" w:rsidP="00B44C64">
      <w:pPr>
        <w:pStyle w:val="ListParagraph"/>
        <w:numPr>
          <w:ilvl w:val="0"/>
          <w:numId w:val="9"/>
        </w:numPr>
        <w:spacing w:after="0" w:line="480" w:lineRule="auto"/>
        <w:ind w:left="0" w:firstLine="720"/>
        <w:rPr>
          <w:rFonts w:ascii="Times New Roman" w:hAnsi="Times New Roman"/>
          <w:sz w:val="24"/>
          <w:szCs w:val="24"/>
        </w:rPr>
      </w:pPr>
      <w:r>
        <w:rPr>
          <w:rFonts w:ascii="Times New Roman" w:hAnsi="Times New Roman"/>
          <w:sz w:val="24"/>
          <w:szCs w:val="24"/>
        </w:rPr>
        <w:t xml:space="preserve">  </w:t>
      </w:r>
      <w:r w:rsidR="0051123B">
        <w:rPr>
          <w:rFonts w:ascii="Times New Roman" w:hAnsi="Times New Roman"/>
          <w:sz w:val="24"/>
          <w:szCs w:val="24"/>
        </w:rPr>
        <w:t>Petitioner</w:t>
      </w:r>
      <w:r w:rsidR="0084787C">
        <w:rPr>
          <w:rFonts w:ascii="Times New Roman" w:hAnsi="Times New Roman"/>
          <w:sz w:val="24"/>
          <w:szCs w:val="24"/>
        </w:rPr>
        <w:t>s</w:t>
      </w:r>
      <w:r w:rsidR="0051123B">
        <w:rPr>
          <w:rFonts w:ascii="Times New Roman" w:hAnsi="Times New Roman"/>
          <w:sz w:val="24"/>
          <w:szCs w:val="24"/>
        </w:rPr>
        <w:t xml:space="preserve"> did not respond to the Division’s motion</w:t>
      </w:r>
      <w:r w:rsidR="000827F9">
        <w:rPr>
          <w:rFonts w:ascii="Times New Roman" w:hAnsi="Times New Roman"/>
          <w:sz w:val="24"/>
          <w:szCs w:val="24"/>
        </w:rPr>
        <w:t xml:space="preserve"> and thus, ha</w:t>
      </w:r>
      <w:r w:rsidR="0084787C">
        <w:rPr>
          <w:rFonts w:ascii="Times New Roman" w:hAnsi="Times New Roman"/>
          <w:sz w:val="24"/>
          <w:szCs w:val="24"/>
        </w:rPr>
        <w:t>ve</w:t>
      </w:r>
      <w:r w:rsidR="000827F9">
        <w:rPr>
          <w:rFonts w:ascii="Times New Roman" w:hAnsi="Times New Roman"/>
          <w:sz w:val="24"/>
          <w:szCs w:val="24"/>
        </w:rPr>
        <w:t xml:space="preserve"> presented no evidence to contest the facts alleged in the affidavits submitted therewith.  Accordingly, such facts may be deemed admitted</w:t>
      </w:r>
      <w:r w:rsidR="0051123B">
        <w:rPr>
          <w:rFonts w:ascii="Times New Roman" w:hAnsi="Times New Roman"/>
          <w:sz w:val="24"/>
          <w:szCs w:val="24"/>
        </w:rPr>
        <w:t xml:space="preserve"> (</w:t>
      </w:r>
      <w:r w:rsidR="0051123B" w:rsidRPr="0051123B">
        <w:rPr>
          <w:rFonts w:ascii="Times New Roman" w:hAnsi="Times New Roman"/>
          <w:b/>
          <w:bCs/>
          <w:i/>
          <w:iCs/>
          <w:sz w:val="24"/>
          <w:szCs w:val="24"/>
        </w:rPr>
        <w:t>se</w:t>
      </w:r>
      <w:r w:rsidR="0058248C">
        <w:rPr>
          <w:rFonts w:ascii="Times New Roman" w:hAnsi="Times New Roman"/>
          <w:b/>
          <w:bCs/>
          <w:i/>
          <w:iCs/>
          <w:sz w:val="24"/>
          <w:szCs w:val="24"/>
        </w:rPr>
        <w:t xml:space="preserve">e </w:t>
      </w:r>
      <w:r w:rsidR="0051123B" w:rsidRPr="0051123B">
        <w:rPr>
          <w:rFonts w:ascii="Times New Roman" w:hAnsi="Times New Roman"/>
          <w:b/>
          <w:bCs/>
          <w:i/>
          <w:iCs/>
          <w:sz w:val="24"/>
          <w:szCs w:val="24"/>
        </w:rPr>
        <w:t xml:space="preserve">Kuehne &amp; Nagel </w:t>
      </w:r>
      <w:r w:rsidR="0051123B" w:rsidRPr="00C92ABE">
        <w:rPr>
          <w:rFonts w:ascii="Times New Roman" w:hAnsi="Times New Roman"/>
          <w:b/>
          <w:bCs/>
          <w:i/>
          <w:iCs/>
          <w:sz w:val="24"/>
          <w:szCs w:val="24"/>
        </w:rPr>
        <w:t>v</w:t>
      </w:r>
      <w:r w:rsidR="0051123B" w:rsidRPr="0061220D">
        <w:rPr>
          <w:rFonts w:ascii="Times New Roman" w:hAnsi="Times New Roman"/>
          <w:b/>
          <w:bCs/>
          <w:i/>
          <w:iCs/>
          <w:color w:val="FF0000"/>
          <w:sz w:val="24"/>
          <w:szCs w:val="24"/>
        </w:rPr>
        <w:t xml:space="preserve"> </w:t>
      </w:r>
      <w:r w:rsidR="0051123B" w:rsidRPr="0051123B">
        <w:rPr>
          <w:rFonts w:ascii="Times New Roman" w:hAnsi="Times New Roman"/>
          <w:b/>
          <w:bCs/>
          <w:i/>
          <w:iCs/>
          <w:sz w:val="24"/>
          <w:szCs w:val="24"/>
        </w:rPr>
        <w:t>Baiden</w:t>
      </w:r>
      <w:r w:rsidR="0051123B">
        <w:rPr>
          <w:rFonts w:ascii="Times New Roman" w:hAnsi="Times New Roman"/>
          <w:sz w:val="24"/>
          <w:szCs w:val="24"/>
        </w:rPr>
        <w:t>, 36 NY2d 539</w:t>
      </w:r>
      <w:r w:rsidR="00197738">
        <w:rPr>
          <w:rFonts w:ascii="Times New Roman" w:hAnsi="Times New Roman"/>
          <w:sz w:val="24"/>
          <w:szCs w:val="24"/>
        </w:rPr>
        <w:t>, 544</w:t>
      </w:r>
      <w:r w:rsidR="0051123B">
        <w:rPr>
          <w:rFonts w:ascii="Times New Roman" w:hAnsi="Times New Roman"/>
          <w:sz w:val="24"/>
          <w:szCs w:val="24"/>
        </w:rPr>
        <w:t xml:space="preserve"> [1975]</w:t>
      </w:r>
      <w:r w:rsidR="000827F9">
        <w:rPr>
          <w:rFonts w:ascii="Times New Roman" w:hAnsi="Times New Roman"/>
          <w:sz w:val="24"/>
          <w:szCs w:val="24"/>
        </w:rPr>
        <w:t xml:space="preserve">; </w:t>
      </w:r>
      <w:r w:rsidR="00EF4B19" w:rsidRPr="00EF4B19">
        <w:rPr>
          <w:rFonts w:ascii="Times New Roman" w:hAnsi="Times New Roman"/>
          <w:b/>
          <w:bCs/>
          <w:i/>
          <w:iCs/>
          <w:sz w:val="24"/>
          <w:szCs w:val="24"/>
        </w:rPr>
        <w:t>see also</w:t>
      </w:r>
      <w:r w:rsidR="00EF4B19">
        <w:rPr>
          <w:rFonts w:ascii="Times New Roman" w:hAnsi="Times New Roman"/>
          <w:sz w:val="24"/>
          <w:szCs w:val="24"/>
        </w:rPr>
        <w:t xml:space="preserve"> </w:t>
      </w:r>
      <w:r w:rsidR="000827F9" w:rsidRPr="000827F9">
        <w:rPr>
          <w:rFonts w:ascii="Times New Roman" w:hAnsi="Times New Roman"/>
          <w:b/>
          <w:bCs/>
          <w:i/>
          <w:iCs/>
          <w:sz w:val="24"/>
          <w:szCs w:val="24"/>
        </w:rPr>
        <w:t xml:space="preserve">Matter of </w:t>
      </w:r>
      <w:r w:rsidR="00EF4B19">
        <w:rPr>
          <w:rFonts w:ascii="Times New Roman" w:hAnsi="Times New Roman"/>
          <w:b/>
          <w:bCs/>
          <w:i/>
          <w:iCs/>
          <w:sz w:val="24"/>
          <w:szCs w:val="24"/>
        </w:rPr>
        <w:t>Rubinos</w:t>
      </w:r>
      <w:r w:rsidR="000827F9">
        <w:rPr>
          <w:rFonts w:ascii="Times New Roman" w:hAnsi="Times New Roman"/>
          <w:sz w:val="24"/>
          <w:szCs w:val="24"/>
        </w:rPr>
        <w:t xml:space="preserve">, Tax Appeals Tribunal, </w:t>
      </w:r>
      <w:r w:rsidR="00EF4B19">
        <w:rPr>
          <w:rFonts w:ascii="Times New Roman" w:hAnsi="Times New Roman"/>
          <w:sz w:val="24"/>
          <w:szCs w:val="24"/>
        </w:rPr>
        <w:t>April 3</w:t>
      </w:r>
      <w:r w:rsidR="000827F9">
        <w:rPr>
          <w:rFonts w:ascii="Times New Roman" w:hAnsi="Times New Roman"/>
          <w:sz w:val="24"/>
          <w:szCs w:val="24"/>
        </w:rPr>
        <w:t>, 201</w:t>
      </w:r>
      <w:r w:rsidR="00EF4B19">
        <w:rPr>
          <w:rFonts w:ascii="Times New Roman" w:hAnsi="Times New Roman"/>
          <w:sz w:val="24"/>
          <w:szCs w:val="24"/>
        </w:rPr>
        <w:t>7</w:t>
      </w:r>
      <w:r w:rsidR="0051123B">
        <w:rPr>
          <w:rFonts w:ascii="Times New Roman" w:hAnsi="Times New Roman"/>
          <w:sz w:val="24"/>
          <w:szCs w:val="24"/>
        </w:rPr>
        <w:t xml:space="preserve">).  </w:t>
      </w:r>
    </w:p>
    <w:p w14:paraId="532A7C32" w14:textId="3DAD4D43" w:rsidR="00EF1FB7" w:rsidRDefault="0051123B" w:rsidP="00B44C64">
      <w:pPr>
        <w:pStyle w:val="ListParagraph"/>
        <w:numPr>
          <w:ilvl w:val="0"/>
          <w:numId w:val="9"/>
        </w:numPr>
        <w:spacing w:after="0" w:line="480" w:lineRule="auto"/>
        <w:ind w:left="0" w:firstLine="720"/>
        <w:rPr>
          <w:rFonts w:ascii="Times New Roman" w:hAnsi="Times New Roman"/>
          <w:sz w:val="24"/>
          <w:szCs w:val="24"/>
        </w:rPr>
      </w:pPr>
      <w:r>
        <w:rPr>
          <w:rFonts w:ascii="Times New Roman" w:hAnsi="Times New Roman"/>
          <w:sz w:val="24"/>
          <w:szCs w:val="24"/>
        </w:rPr>
        <w:t xml:space="preserve">  </w:t>
      </w:r>
      <w:r w:rsidR="00F16A49">
        <w:rPr>
          <w:rFonts w:ascii="Times New Roman" w:hAnsi="Times New Roman"/>
          <w:sz w:val="24"/>
          <w:szCs w:val="24"/>
        </w:rPr>
        <w:t>A taxpayer may protest a notice of deficiency by filing a petition for a hearing with the Division of Tax Appeals or a request for conciliation conference with BCMS</w:t>
      </w:r>
      <w:r w:rsidR="000827F9">
        <w:rPr>
          <w:rFonts w:ascii="Times New Roman" w:hAnsi="Times New Roman"/>
          <w:sz w:val="24"/>
          <w:szCs w:val="24"/>
        </w:rPr>
        <w:t xml:space="preserve"> (</w:t>
      </w:r>
      <w:r w:rsidR="000827F9" w:rsidRPr="000827F9">
        <w:rPr>
          <w:rFonts w:ascii="Times New Roman" w:hAnsi="Times New Roman"/>
          <w:b/>
          <w:bCs/>
          <w:i/>
          <w:iCs/>
          <w:sz w:val="24"/>
          <w:szCs w:val="24"/>
        </w:rPr>
        <w:t>see</w:t>
      </w:r>
      <w:r w:rsidR="000827F9">
        <w:rPr>
          <w:rFonts w:ascii="Times New Roman" w:hAnsi="Times New Roman"/>
          <w:sz w:val="24"/>
          <w:szCs w:val="24"/>
        </w:rPr>
        <w:t xml:space="preserve"> Tax Law </w:t>
      </w:r>
      <w:r w:rsidR="00F16A49">
        <w:rPr>
          <w:rFonts w:ascii="Times New Roman" w:hAnsi="Times New Roman"/>
          <w:sz w:val="24"/>
          <w:szCs w:val="24"/>
        </w:rPr>
        <w:t>§</w:t>
      </w:r>
      <w:r w:rsidR="000827F9">
        <w:rPr>
          <w:rFonts w:ascii="Times New Roman" w:hAnsi="Times New Roman"/>
          <w:sz w:val="24"/>
          <w:szCs w:val="24"/>
        </w:rPr>
        <w:t>§</w:t>
      </w:r>
      <w:r w:rsidR="00F16A49">
        <w:rPr>
          <w:rFonts w:ascii="Times New Roman" w:hAnsi="Times New Roman"/>
          <w:sz w:val="24"/>
          <w:szCs w:val="24"/>
        </w:rPr>
        <w:t xml:space="preserve"> 681 [b];</w:t>
      </w:r>
      <w:r w:rsidR="00875E94">
        <w:rPr>
          <w:rFonts w:ascii="Times New Roman" w:hAnsi="Times New Roman"/>
          <w:sz w:val="24"/>
          <w:szCs w:val="24"/>
        </w:rPr>
        <w:t xml:space="preserve"> 689 [b];</w:t>
      </w:r>
      <w:r w:rsidR="000827F9">
        <w:rPr>
          <w:rFonts w:ascii="Times New Roman" w:hAnsi="Times New Roman"/>
          <w:sz w:val="24"/>
          <w:szCs w:val="24"/>
        </w:rPr>
        <w:t xml:space="preserve"> 170 [3-a]).</w:t>
      </w:r>
      <w:r w:rsidR="00EF4B19">
        <w:rPr>
          <w:rFonts w:ascii="Times New Roman" w:hAnsi="Times New Roman"/>
          <w:sz w:val="24"/>
          <w:szCs w:val="24"/>
        </w:rPr>
        <w:t xml:space="preserve">  </w:t>
      </w:r>
      <w:r w:rsidR="00300168">
        <w:rPr>
          <w:rFonts w:ascii="Times New Roman" w:hAnsi="Times New Roman"/>
          <w:sz w:val="24"/>
          <w:szCs w:val="24"/>
        </w:rPr>
        <w:t>It is well established that the 90-day statutory time limit for filing either a petition or a request for a conciliation conference is strictly enforced and that, accordingly, protests filed even one date late are considered untimely (</w:t>
      </w:r>
      <w:r w:rsidR="00300168" w:rsidRPr="00875E94">
        <w:rPr>
          <w:rFonts w:ascii="Times New Roman" w:hAnsi="Times New Roman"/>
          <w:b/>
          <w:bCs/>
          <w:i/>
          <w:iCs/>
          <w:sz w:val="24"/>
          <w:szCs w:val="24"/>
        </w:rPr>
        <w:t>se</w:t>
      </w:r>
      <w:r w:rsidR="00875E94" w:rsidRPr="00875E94">
        <w:rPr>
          <w:rFonts w:ascii="Times New Roman" w:hAnsi="Times New Roman"/>
          <w:b/>
          <w:bCs/>
          <w:i/>
          <w:iCs/>
          <w:sz w:val="24"/>
          <w:szCs w:val="24"/>
        </w:rPr>
        <w:t>e</w:t>
      </w:r>
      <w:r w:rsidR="00300168" w:rsidRPr="00875E94">
        <w:rPr>
          <w:rFonts w:ascii="Times New Roman" w:hAnsi="Times New Roman"/>
          <w:b/>
          <w:bCs/>
          <w:i/>
          <w:iCs/>
          <w:sz w:val="24"/>
          <w:szCs w:val="24"/>
        </w:rPr>
        <w:t xml:space="preserve"> e.g. Matter of American Woodcraft</w:t>
      </w:r>
      <w:r w:rsidR="00300168">
        <w:rPr>
          <w:rFonts w:ascii="Times New Roman" w:hAnsi="Times New Roman"/>
          <w:sz w:val="24"/>
          <w:szCs w:val="24"/>
        </w:rPr>
        <w:t>, Tax Appeals Tribunal, May 15, 2003</w:t>
      </w:r>
      <w:r w:rsidR="00D44511">
        <w:rPr>
          <w:rFonts w:ascii="Times New Roman" w:hAnsi="Times New Roman"/>
          <w:sz w:val="24"/>
          <w:szCs w:val="24"/>
        </w:rPr>
        <w:t xml:space="preserve">; </w:t>
      </w:r>
      <w:r w:rsidR="00D44511" w:rsidRPr="00D44511">
        <w:rPr>
          <w:rFonts w:ascii="Times New Roman" w:hAnsi="Times New Roman"/>
          <w:b/>
          <w:bCs/>
          <w:i/>
          <w:iCs/>
          <w:sz w:val="24"/>
          <w:szCs w:val="24"/>
        </w:rPr>
        <w:t>Matter of Maro Luncheonette</w:t>
      </w:r>
      <w:r w:rsidR="00D44511">
        <w:rPr>
          <w:rFonts w:ascii="Times New Roman" w:hAnsi="Times New Roman"/>
          <w:sz w:val="24"/>
          <w:szCs w:val="24"/>
        </w:rPr>
        <w:t>, Tax Appeals Tribunal, February 1, 1996</w:t>
      </w:r>
      <w:r w:rsidR="00300168">
        <w:rPr>
          <w:rFonts w:ascii="Times New Roman" w:hAnsi="Times New Roman"/>
          <w:sz w:val="24"/>
          <w:szCs w:val="24"/>
        </w:rPr>
        <w:t>).  This is because, absent a timely protest, a notice of deficiency becomes a fix</w:t>
      </w:r>
      <w:r w:rsidR="001C3D4C">
        <w:rPr>
          <w:rFonts w:ascii="Times New Roman" w:hAnsi="Times New Roman"/>
          <w:sz w:val="24"/>
          <w:szCs w:val="24"/>
        </w:rPr>
        <w:t>ed</w:t>
      </w:r>
      <w:r w:rsidR="00300168">
        <w:rPr>
          <w:rFonts w:ascii="Times New Roman" w:hAnsi="Times New Roman"/>
          <w:sz w:val="24"/>
          <w:szCs w:val="24"/>
        </w:rPr>
        <w:t xml:space="preserve"> and final assessment and, consequently, the Division of Tax Appeals is without jurisdiction to consider the substantive merits of the protest (</w:t>
      </w:r>
      <w:r w:rsidR="00300168" w:rsidRPr="00875E94">
        <w:rPr>
          <w:rFonts w:ascii="Times New Roman" w:hAnsi="Times New Roman"/>
          <w:b/>
          <w:bCs/>
          <w:i/>
          <w:iCs/>
          <w:sz w:val="24"/>
          <w:szCs w:val="24"/>
        </w:rPr>
        <w:t>see Matter of Lu</w:t>
      </w:r>
      <w:r w:rsidR="00875E94" w:rsidRPr="00875E94">
        <w:rPr>
          <w:rFonts w:ascii="Times New Roman" w:hAnsi="Times New Roman"/>
          <w:b/>
          <w:bCs/>
          <w:i/>
          <w:iCs/>
          <w:sz w:val="24"/>
          <w:szCs w:val="24"/>
        </w:rPr>
        <w:t>kacs</w:t>
      </w:r>
      <w:r w:rsidR="00875E94">
        <w:rPr>
          <w:rFonts w:ascii="Times New Roman" w:hAnsi="Times New Roman"/>
          <w:sz w:val="24"/>
          <w:szCs w:val="24"/>
        </w:rPr>
        <w:t>, Tax Appeals Tribunal, November 8, 2007</w:t>
      </w:r>
      <w:r w:rsidR="009B5165">
        <w:rPr>
          <w:rFonts w:ascii="Times New Roman" w:hAnsi="Times New Roman"/>
          <w:sz w:val="24"/>
          <w:szCs w:val="24"/>
        </w:rPr>
        <w:t xml:space="preserve">; </w:t>
      </w:r>
      <w:r w:rsidR="009B5165" w:rsidRPr="009B5165">
        <w:rPr>
          <w:rFonts w:ascii="Times New Roman" w:hAnsi="Times New Roman"/>
          <w:b/>
          <w:bCs/>
          <w:i/>
          <w:iCs/>
          <w:sz w:val="24"/>
          <w:szCs w:val="24"/>
        </w:rPr>
        <w:t>Matter of Sak Smoke Shop</w:t>
      </w:r>
      <w:r w:rsidR="009B5165">
        <w:rPr>
          <w:rFonts w:ascii="Times New Roman" w:hAnsi="Times New Roman"/>
          <w:sz w:val="24"/>
          <w:szCs w:val="24"/>
        </w:rPr>
        <w:t>, Tax Appeals Tribunal, January 6, 1989</w:t>
      </w:r>
      <w:r w:rsidR="00875E94">
        <w:rPr>
          <w:rFonts w:ascii="Times New Roman" w:hAnsi="Times New Roman"/>
          <w:sz w:val="24"/>
          <w:szCs w:val="24"/>
        </w:rPr>
        <w:t>).</w:t>
      </w:r>
    </w:p>
    <w:p w14:paraId="59094662" w14:textId="3A41C635" w:rsidR="00EF1FB7" w:rsidRDefault="005F39C1" w:rsidP="005F39C1">
      <w:pPr>
        <w:pStyle w:val="ListParagraph"/>
        <w:numPr>
          <w:ilvl w:val="0"/>
          <w:numId w:val="9"/>
        </w:numPr>
        <w:spacing w:after="0" w:line="480" w:lineRule="auto"/>
        <w:ind w:left="0" w:firstLine="720"/>
        <w:rPr>
          <w:rFonts w:ascii="Times New Roman" w:hAnsi="Times New Roman"/>
          <w:sz w:val="24"/>
          <w:szCs w:val="24"/>
        </w:rPr>
      </w:pPr>
      <w:r>
        <w:rPr>
          <w:rFonts w:ascii="Times New Roman" w:hAnsi="Times New Roman"/>
          <w:sz w:val="24"/>
          <w:szCs w:val="24"/>
        </w:rPr>
        <w:lastRenderedPageBreak/>
        <w:t xml:space="preserve">  Where, as here, the timeliness of a</w:t>
      </w:r>
      <w:r w:rsidR="00E91ED3">
        <w:rPr>
          <w:rFonts w:ascii="Times New Roman" w:hAnsi="Times New Roman"/>
          <w:sz w:val="24"/>
          <w:szCs w:val="24"/>
        </w:rPr>
        <w:t xml:space="preserve"> petitioner’s</w:t>
      </w:r>
      <w:r>
        <w:rPr>
          <w:rFonts w:ascii="Times New Roman" w:hAnsi="Times New Roman"/>
          <w:sz w:val="24"/>
          <w:szCs w:val="24"/>
        </w:rPr>
        <w:t xml:space="preserve"> request for conciliation conference or petition is at issue, the initial inquiry is whether the Division has carried its burden of demonstrating the fact and date of the mailing to petitioner’s last known address (</w:t>
      </w:r>
      <w:r w:rsidRPr="005F39C1">
        <w:rPr>
          <w:rFonts w:ascii="Times New Roman" w:hAnsi="Times New Roman"/>
          <w:b/>
          <w:bCs/>
          <w:i/>
          <w:iCs/>
          <w:sz w:val="24"/>
          <w:szCs w:val="24"/>
        </w:rPr>
        <w:t xml:space="preserve">see </w:t>
      </w:r>
      <w:r w:rsidR="00E91ED3" w:rsidRPr="002C2928">
        <w:rPr>
          <w:rFonts w:ascii="Times New Roman" w:hAnsi="Times New Roman"/>
          <w:b/>
          <w:bCs/>
          <w:i/>
          <w:iCs/>
          <w:sz w:val="24"/>
          <w:szCs w:val="24"/>
        </w:rPr>
        <w:t>Matter of Feliciano</w:t>
      </w:r>
      <w:r w:rsidR="00E91ED3">
        <w:rPr>
          <w:rFonts w:ascii="Times New Roman" w:hAnsi="Times New Roman"/>
          <w:sz w:val="24"/>
          <w:szCs w:val="24"/>
        </w:rPr>
        <w:t xml:space="preserve">, Tax Appeals Tribunal, August 24, 2017; </w:t>
      </w:r>
      <w:r w:rsidRPr="005F39C1">
        <w:rPr>
          <w:rFonts w:ascii="Times New Roman" w:hAnsi="Times New Roman"/>
          <w:b/>
          <w:bCs/>
          <w:i/>
          <w:iCs/>
          <w:sz w:val="24"/>
          <w:szCs w:val="24"/>
        </w:rPr>
        <w:t>Matter of Katz</w:t>
      </w:r>
      <w:r>
        <w:rPr>
          <w:rFonts w:ascii="Times New Roman" w:hAnsi="Times New Roman"/>
          <w:sz w:val="24"/>
          <w:szCs w:val="24"/>
        </w:rPr>
        <w:t xml:space="preserve">, Tax Appeals Tribunal, November 14, 1991).  </w:t>
      </w:r>
      <w:r w:rsidR="00262B66">
        <w:rPr>
          <w:rFonts w:ascii="Times New Roman" w:hAnsi="Times New Roman"/>
          <w:sz w:val="24"/>
          <w:szCs w:val="24"/>
        </w:rPr>
        <w:t>A statutory notice is mailed when it is delivered into the custody of the USPS (</w:t>
      </w:r>
      <w:r w:rsidR="00262B66" w:rsidRPr="00262B66">
        <w:rPr>
          <w:rFonts w:ascii="Times New Roman" w:hAnsi="Times New Roman"/>
          <w:b/>
          <w:bCs/>
          <w:i/>
          <w:iCs/>
          <w:sz w:val="24"/>
          <w:szCs w:val="24"/>
        </w:rPr>
        <w:t>Matter of Air Flex Custom Furn.</w:t>
      </w:r>
      <w:r w:rsidR="00262B66">
        <w:rPr>
          <w:rFonts w:ascii="Times New Roman" w:hAnsi="Times New Roman"/>
          <w:sz w:val="24"/>
          <w:szCs w:val="24"/>
        </w:rPr>
        <w:t xml:space="preserve">, Tax Appeals Tribunal, November 25, 1992).  </w:t>
      </w:r>
      <w:r>
        <w:rPr>
          <w:rFonts w:ascii="Times New Roman" w:hAnsi="Times New Roman"/>
          <w:sz w:val="24"/>
          <w:szCs w:val="24"/>
        </w:rPr>
        <w:t xml:space="preserve">To meet its burden, the Division must </w:t>
      </w:r>
      <w:r w:rsidR="007E130A">
        <w:rPr>
          <w:rFonts w:ascii="Times New Roman" w:hAnsi="Times New Roman"/>
          <w:sz w:val="24"/>
          <w:szCs w:val="24"/>
        </w:rPr>
        <w:t xml:space="preserve">show </w:t>
      </w:r>
      <w:r w:rsidR="00ED4F3D">
        <w:rPr>
          <w:rFonts w:ascii="Times New Roman" w:hAnsi="Times New Roman"/>
          <w:sz w:val="24"/>
          <w:szCs w:val="24"/>
        </w:rPr>
        <w:t xml:space="preserve">it has </w:t>
      </w:r>
      <w:r w:rsidR="007E130A">
        <w:rPr>
          <w:rFonts w:ascii="Times New Roman" w:hAnsi="Times New Roman"/>
          <w:sz w:val="24"/>
          <w:szCs w:val="24"/>
        </w:rPr>
        <w:t>a standard mailing procedure for the issuance of statutory notices by one with knowledge of the relevant procedures and that the procedure was followed in this instance (</w:t>
      </w:r>
      <w:r w:rsidR="007E130A" w:rsidRPr="007E130A">
        <w:rPr>
          <w:rFonts w:ascii="Times New Roman" w:hAnsi="Times New Roman"/>
          <w:b/>
          <w:bCs/>
          <w:i/>
          <w:iCs/>
          <w:sz w:val="24"/>
          <w:szCs w:val="24"/>
        </w:rPr>
        <w:t xml:space="preserve">see </w:t>
      </w:r>
      <w:r w:rsidR="002206E6">
        <w:rPr>
          <w:rFonts w:ascii="Times New Roman" w:hAnsi="Times New Roman"/>
          <w:b/>
          <w:bCs/>
          <w:i/>
          <w:iCs/>
          <w:sz w:val="24"/>
          <w:szCs w:val="24"/>
        </w:rPr>
        <w:t xml:space="preserve">Matter of </w:t>
      </w:r>
      <w:r w:rsidR="009342A5">
        <w:rPr>
          <w:rFonts w:ascii="Times New Roman" w:hAnsi="Times New Roman"/>
          <w:b/>
          <w:bCs/>
          <w:i/>
          <w:iCs/>
          <w:sz w:val="24"/>
          <w:szCs w:val="24"/>
        </w:rPr>
        <w:t>New York City Billionaires Constr. Corp.</w:t>
      </w:r>
      <w:r w:rsidR="009342A5">
        <w:rPr>
          <w:rFonts w:ascii="Times New Roman" w:hAnsi="Times New Roman"/>
          <w:sz w:val="24"/>
          <w:szCs w:val="24"/>
        </w:rPr>
        <w:t>, Tax Appeals Tribunal, October 20, 2011</w:t>
      </w:r>
      <w:r w:rsidR="007E130A">
        <w:rPr>
          <w:rFonts w:ascii="Times New Roman" w:hAnsi="Times New Roman"/>
          <w:sz w:val="24"/>
          <w:szCs w:val="24"/>
        </w:rPr>
        <w:t>).</w:t>
      </w:r>
      <w:r w:rsidR="00E91ED3">
        <w:rPr>
          <w:rFonts w:ascii="Times New Roman" w:hAnsi="Times New Roman"/>
          <w:sz w:val="24"/>
          <w:szCs w:val="24"/>
        </w:rPr>
        <w:t xml:space="preserve">  </w:t>
      </w:r>
      <w:r w:rsidR="0027436D">
        <w:rPr>
          <w:rFonts w:ascii="Times New Roman" w:hAnsi="Times New Roman"/>
          <w:sz w:val="24"/>
          <w:szCs w:val="24"/>
        </w:rPr>
        <w:t>Where a notice of deficiency of personal income tax is properly mailed</w:t>
      </w:r>
      <w:r w:rsidR="0046650C">
        <w:rPr>
          <w:rFonts w:ascii="Times New Roman" w:hAnsi="Times New Roman"/>
          <w:sz w:val="24"/>
          <w:szCs w:val="24"/>
        </w:rPr>
        <w:t>,</w:t>
      </w:r>
      <w:r w:rsidR="0027436D">
        <w:rPr>
          <w:rFonts w:ascii="Times New Roman" w:hAnsi="Times New Roman"/>
          <w:sz w:val="24"/>
          <w:szCs w:val="24"/>
        </w:rPr>
        <w:t xml:space="preserve"> it is valid whether or not it is actually received</w:t>
      </w:r>
      <w:r w:rsidR="009342A5">
        <w:rPr>
          <w:rFonts w:ascii="Times New Roman" w:hAnsi="Times New Roman"/>
          <w:sz w:val="24"/>
          <w:szCs w:val="24"/>
        </w:rPr>
        <w:t xml:space="preserve"> (</w:t>
      </w:r>
      <w:r w:rsidR="009342A5" w:rsidRPr="0027436D">
        <w:rPr>
          <w:rFonts w:ascii="Times New Roman" w:hAnsi="Times New Roman"/>
          <w:b/>
          <w:bCs/>
          <w:i/>
          <w:iCs/>
          <w:sz w:val="24"/>
          <w:szCs w:val="24"/>
        </w:rPr>
        <w:t>see Matter of Olshanetskiy</w:t>
      </w:r>
      <w:r w:rsidR="009342A5">
        <w:rPr>
          <w:rFonts w:ascii="Times New Roman" w:hAnsi="Times New Roman"/>
          <w:sz w:val="24"/>
          <w:szCs w:val="24"/>
        </w:rPr>
        <w:t>, Tax Appeals Tribunal, February 28, 2019).</w:t>
      </w:r>
    </w:p>
    <w:p w14:paraId="285F80A8" w14:textId="3199F4FB" w:rsidR="00B004D6" w:rsidRPr="00ED67F0" w:rsidRDefault="00D76D88" w:rsidP="005F39C1">
      <w:pPr>
        <w:pStyle w:val="ListParagraph"/>
        <w:numPr>
          <w:ilvl w:val="0"/>
          <w:numId w:val="9"/>
        </w:numPr>
        <w:spacing w:after="0" w:line="480" w:lineRule="auto"/>
        <w:ind w:left="0" w:firstLine="720"/>
        <w:rPr>
          <w:rFonts w:ascii="Times New Roman" w:hAnsi="Times New Roman"/>
          <w:sz w:val="24"/>
          <w:szCs w:val="24"/>
        </w:rPr>
      </w:pPr>
      <w:r w:rsidRPr="00ED67F0">
        <w:rPr>
          <w:rFonts w:ascii="Times New Roman" w:hAnsi="Times New Roman"/>
          <w:sz w:val="24"/>
          <w:szCs w:val="24"/>
        </w:rPr>
        <w:t xml:space="preserve">  </w:t>
      </w:r>
      <w:r w:rsidR="002206E6">
        <w:rPr>
          <w:rFonts w:ascii="Times New Roman" w:hAnsi="Times New Roman"/>
          <w:sz w:val="24"/>
          <w:szCs w:val="24"/>
        </w:rPr>
        <w:t>In this case, the Division has offered proof sufficient to establish the mailing of the notice to petitioners</w:t>
      </w:r>
      <w:r w:rsidR="0084787C">
        <w:rPr>
          <w:rFonts w:ascii="Times New Roman" w:hAnsi="Times New Roman"/>
          <w:sz w:val="24"/>
          <w:szCs w:val="24"/>
        </w:rPr>
        <w:t>’</w:t>
      </w:r>
      <w:r w:rsidR="002206E6">
        <w:rPr>
          <w:rFonts w:ascii="Times New Roman" w:hAnsi="Times New Roman"/>
          <w:sz w:val="24"/>
          <w:szCs w:val="24"/>
        </w:rPr>
        <w:t xml:space="preserve"> last known address on </w:t>
      </w:r>
      <w:r w:rsidR="0084787C">
        <w:rPr>
          <w:rFonts w:ascii="Times New Roman" w:hAnsi="Times New Roman"/>
          <w:sz w:val="24"/>
          <w:szCs w:val="24"/>
        </w:rPr>
        <w:t>November 9</w:t>
      </w:r>
      <w:r w:rsidR="002206E6">
        <w:rPr>
          <w:rFonts w:ascii="Times New Roman" w:hAnsi="Times New Roman"/>
          <w:sz w:val="24"/>
          <w:szCs w:val="24"/>
        </w:rPr>
        <w:t>, 201</w:t>
      </w:r>
      <w:r w:rsidR="0084787C">
        <w:rPr>
          <w:rFonts w:ascii="Times New Roman" w:hAnsi="Times New Roman"/>
          <w:sz w:val="24"/>
          <w:szCs w:val="24"/>
        </w:rPr>
        <w:t>8</w:t>
      </w:r>
      <w:r w:rsidR="002206E6">
        <w:rPr>
          <w:rFonts w:ascii="Times New Roman" w:hAnsi="Times New Roman"/>
          <w:sz w:val="24"/>
          <w:szCs w:val="24"/>
        </w:rPr>
        <w:t xml:space="preserve">.  </w:t>
      </w:r>
      <w:r w:rsidR="00ED67F0">
        <w:rPr>
          <w:rFonts w:ascii="Times New Roman" w:hAnsi="Times New Roman"/>
          <w:sz w:val="24"/>
          <w:szCs w:val="24"/>
        </w:rPr>
        <w:t>T</w:t>
      </w:r>
      <w:r w:rsidR="00111053" w:rsidRPr="00ED67F0">
        <w:rPr>
          <w:rFonts w:ascii="Times New Roman" w:hAnsi="Times New Roman"/>
          <w:sz w:val="24"/>
          <w:szCs w:val="24"/>
        </w:rPr>
        <w:t>he CMR has been properly completed and therefore constitutes highly probative documentary evidence of both the date and fact of mailing (</w:t>
      </w:r>
      <w:r w:rsidR="00111053" w:rsidRPr="00ED67F0">
        <w:rPr>
          <w:rFonts w:ascii="Times New Roman" w:hAnsi="Times New Roman"/>
          <w:b/>
          <w:bCs/>
          <w:i/>
          <w:iCs/>
          <w:sz w:val="24"/>
          <w:szCs w:val="24"/>
        </w:rPr>
        <w:t xml:space="preserve">see Matter of </w:t>
      </w:r>
      <w:r w:rsidR="003D0116">
        <w:rPr>
          <w:rFonts w:ascii="Times New Roman" w:hAnsi="Times New Roman"/>
          <w:b/>
          <w:bCs/>
          <w:i/>
          <w:iCs/>
          <w:sz w:val="24"/>
          <w:szCs w:val="24"/>
        </w:rPr>
        <w:t>Modica</w:t>
      </w:r>
      <w:r w:rsidR="00111053" w:rsidRPr="00ED67F0">
        <w:rPr>
          <w:rFonts w:ascii="Times New Roman" w:hAnsi="Times New Roman"/>
          <w:sz w:val="24"/>
          <w:szCs w:val="24"/>
        </w:rPr>
        <w:t xml:space="preserve">, Tax Appeals Tribunal, </w:t>
      </w:r>
      <w:r w:rsidR="003D0116">
        <w:rPr>
          <w:rFonts w:ascii="Times New Roman" w:hAnsi="Times New Roman"/>
          <w:sz w:val="24"/>
          <w:szCs w:val="24"/>
        </w:rPr>
        <w:t>October 1, 2015</w:t>
      </w:r>
      <w:r w:rsidR="00111053" w:rsidRPr="00ED67F0">
        <w:rPr>
          <w:rFonts w:ascii="Times New Roman" w:hAnsi="Times New Roman"/>
          <w:sz w:val="24"/>
          <w:szCs w:val="24"/>
        </w:rPr>
        <w:t xml:space="preserve">).  The affidavits submitted by the Division adequately </w:t>
      </w:r>
      <w:r w:rsidR="000B5A2F" w:rsidRPr="00ED67F0">
        <w:rPr>
          <w:rFonts w:ascii="Times New Roman" w:hAnsi="Times New Roman"/>
          <w:sz w:val="24"/>
          <w:szCs w:val="24"/>
        </w:rPr>
        <w:t>describe</w:t>
      </w:r>
      <w:r w:rsidR="00111053" w:rsidRPr="00ED67F0">
        <w:rPr>
          <w:rFonts w:ascii="Times New Roman" w:hAnsi="Times New Roman"/>
          <w:sz w:val="24"/>
          <w:szCs w:val="24"/>
        </w:rPr>
        <w:t xml:space="preserve"> the Division’s general mailing procedure as well as the relevant CMR and thereby establish that the general mailing procedure was followed in this case (</w:t>
      </w:r>
      <w:r w:rsidR="00111053" w:rsidRPr="00ED67F0">
        <w:rPr>
          <w:rFonts w:ascii="Times New Roman" w:hAnsi="Times New Roman"/>
          <w:b/>
          <w:bCs/>
          <w:i/>
          <w:iCs/>
          <w:sz w:val="24"/>
          <w:szCs w:val="24"/>
        </w:rPr>
        <w:t xml:space="preserve">see </w:t>
      </w:r>
      <w:r w:rsidR="003D0116">
        <w:rPr>
          <w:rFonts w:ascii="Times New Roman" w:hAnsi="Times New Roman"/>
          <w:b/>
          <w:bCs/>
          <w:i/>
          <w:iCs/>
          <w:sz w:val="24"/>
          <w:szCs w:val="24"/>
        </w:rPr>
        <w:t xml:space="preserve">e.g. Matter of Western Aries Construction, </w:t>
      </w:r>
      <w:r w:rsidR="003D0116" w:rsidRPr="00197738">
        <w:rPr>
          <w:rFonts w:ascii="Times New Roman" w:hAnsi="Times New Roman"/>
          <w:sz w:val="24"/>
          <w:szCs w:val="24"/>
        </w:rPr>
        <w:t>Tax Appeals Tribunal</w:t>
      </w:r>
      <w:r w:rsidR="003D0116" w:rsidRPr="003D0116">
        <w:rPr>
          <w:rFonts w:ascii="Times New Roman" w:hAnsi="Times New Roman"/>
          <w:sz w:val="24"/>
          <w:szCs w:val="24"/>
        </w:rPr>
        <w:t>, March 3, 2011</w:t>
      </w:r>
      <w:r w:rsidR="003D0116" w:rsidRPr="00AE6366">
        <w:rPr>
          <w:rFonts w:ascii="Times New Roman" w:hAnsi="Times New Roman"/>
          <w:sz w:val="24"/>
          <w:szCs w:val="24"/>
        </w:rPr>
        <w:t>;</w:t>
      </w:r>
      <w:r w:rsidR="003D0116">
        <w:rPr>
          <w:rFonts w:ascii="Times New Roman" w:hAnsi="Times New Roman"/>
          <w:b/>
          <w:bCs/>
          <w:i/>
          <w:iCs/>
          <w:sz w:val="24"/>
          <w:szCs w:val="24"/>
        </w:rPr>
        <w:t xml:space="preserve"> </w:t>
      </w:r>
      <w:r w:rsidR="00111053" w:rsidRPr="00ED67F0">
        <w:rPr>
          <w:rFonts w:ascii="Times New Roman" w:hAnsi="Times New Roman"/>
          <w:b/>
          <w:bCs/>
          <w:i/>
          <w:iCs/>
          <w:sz w:val="24"/>
          <w:szCs w:val="24"/>
        </w:rPr>
        <w:t>Matter of DeWeese</w:t>
      </w:r>
      <w:r w:rsidR="00111053" w:rsidRPr="00ED67F0">
        <w:rPr>
          <w:rFonts w:ascii="Times New Roman" w:hAnsi="Times New Roman"/>
          <w:sz w:val="24"/>
          <w:szCs w:val="24"/>
        </w:rPr>
        <w:t xml:space="preserve">, Tax Appeals Tribunal, June 20, 2002).  </w:t>
      </w:r>
    </w:p>
    <w:p w14:paraId="2B4489BA" w14:textId="568BC4FC" w:rsidR="00ED67F0" w:rsidRPr="00E91ED3" w:rsidRDefault="00ED67F0" w:rsidP="00E91ED3">
      <w:pPr>
        <w:pStyle w:val="ListParagraph"/>
        <w:numPr>
          <w:ilvl w:val="0"/>
          <w:numId w:val="9"/>
        </w:numPr>
        <w:spacing w:after="0" w:line="480" w:lineRule="auto"/>
        <w:ind w:left="0" w:firstLine="720"/>
        <w:rPr>
          <w:rFonts w:ascii="Times New Roman" w:hAnsi="Times New Roman"/>
          <w:sz w:val="24"/>
          <w:szCs w:val="24"/>
        </w:rPr>
      </w:pPr>
      <w:r>
        <w:rPr>
          <w:rFonts w:ascii="Times New Roman" w:hAnsi="Times New Roman"/>
          <w:sz w:val="24"/>
          <w:szCs w:val="24"/>
        </w:rPr>
        <w:t xml:space="preserve">  </w:t>
      </w:r>
      <w:r w:rsidR="0027436D">
        <w:rPr>
          <w:rFonts w:ascii="Times New Roman" w:hAnsi="Times New Roman"/>
          <w:sz w:val="24"/>
          <w:szCs w:val="24"/>
        </w:rPr>
        <w:t>The Division issued notice L-0</w:t>
      </w:r>
      <w:r w:rsidR="00EC23E7">
        <w:rPr>
          <w:rFonts w:ascii="Times New Roman" w:hAnsi="Times New Roman"/>
          <w:sz w:val="24"/>
          <w:szCs w:val="24"/>
        </w:rPr>
        <w:t>4</w:t>
      </w:r>
      <w:r w:rsidR="00401B16">
        <w:rPr>
          <w:rFonts w:ascii="Times New Roman" w:hAnsi="Times New Roman"/>
          <w:sz w:val="24"/>
          <w:szCs w:val="24"/>
        </w:rPr>
        <w:t>8713107</w:t>
      </w:r>
      <w:r w:rsidR="00AE3089">
        <w:rPr>
          <w:rFonts w:ascii="Times New Roman" w:hAnsi="Times New Roman"/>
          <w:sz w:val="24"/>
          <w:szCs w:val="24"/>
        </w:rPr>
        <w:t>-2</w:t>
      </w:r>
      <w:r w:rsidR="0027436D">
        <w:rPr>
          <w:rFonts w:ascii="Times New Roman" w:hAnsi="Times New Roman"/>
          <w:sz w:val="24"/>
          <w:szCs w:val="24"/>
        </w:rPr>
        <w:t xml:space="preserve"> to petitioners</w:t>
      </w:r>
      <w:r w:rsidR="00401B16">
        <w:rPr>
          <w:rFonts w:ascii="Times New Roman" w:hAnsi="Times New Roman"/>
          <w:sz w:val="24"/>
          <w:szCs w:val="24"/>
        </w:rPr>
        <w:t>’</w:t>
      </w:r>
      <w:r w:rsidR="0027436D">
        <w:rPr>
          <w:rFonts w:ascii="Times New Roman" w:hAnsi="Times New Roman"/>
          <w:sz w:val="24"/>
          <w:szCs w:val="24"/>
        </w:rPr>
        <w:t xml:space="preserve"> last known address.  </w:t>
      </w:r>
      <w:r>
        <w:rPr>
          <w:rFonts w:ascii="Times New Roman" w:hAnsi="Times New Roman"/>
          <w:sz w:val="24"/>
          <w:szCs w:val="24"/>
        </w:rPr>
        <w:t xml:space="preserve">“A taxpayer’s last known address shall be the address given in the last return filed by him, unless subsequent to the filing of such return the taxpayer shall have notified the [Division] of a change </w:t>
      </w:r>
      <w:r>
        <w:rPr>
          <w:rFonts w:ascii="Times New Roman" w:hAnsi="Times New Roman"/>
          <w:sz w:val="24"/>
          <w:szCs w:val="24"/>
        </w:rPr>
        <w:lastRenderedPageBreak/>
        <w:t>of address” (Tax Law § 691 [b]).  Petitioners</w:t>
      </w:r>
      <w:r w:rsidR="00401B16">
        <w:rPr>
          <w:rFonts w:ascii="Times New Roman" w:hAnsi="Times New Roman"/>
          <w:sz w:val="24"/>
          <w:szCs w:val="24"/>
        </w:rPr>
        <w:t>’</w:t>
      </w:r>
      <w:r>
        <w:rPr>
          <w:rFonts w:ascii="Times New Roman" w:hAnsi="Times New Roman"/>
          <w:sz w:val="24"/>
          <w:szCs w:val="24"/>
        </w:rPr>
        <w:t xml:space="preserve"> address as provided on </w:t>
      </w:r>
      <w:r w:rsidR="00401B16">
        <w:rPr>
          <w:rFonts w:ascii="Times New Roman" w:hAnsi="Times New Roman"/>
          <w:sz w:val="24"/>
          <w:szCs w:val="24"/>
        </w:rPr>
        <w:t>their 2017</w:t>
      </w:r>
      <w:r>
        <w:rPr>
          <w:rFonts w:ascii="Times New Roman" w:hAnsi="Times New Roman"/>
          <w:sz w:val="24"/>
          <w:szCs w:val="24"/>
        </w:rPr>
        <w:t xml:space="preserve"> return </w:t>
      </w:r>
      <w:r w:rsidR="00401B16">
        <w:rPr>
          <w:rFonts w:ascii="Times New Roman" w:hAnsi="Times New Roman"/>
          <w:sz w:val="24"/>
          <w:szCs w:val="24"/>
        </w:rPr>
        <w:t>is</w:t>
      </w:r>
      <w:r>
        <w:rPr>
          <w:rFonts w:ascii="Times New Roman" w:hAnsi="Times New Roman"/>
          <w:sz w:val="24"/>
          <w:szCs w:val="24"/>
        </w:rPr>
        <w:t xml:space="preserve"> identical</w:t>
      </w:r>
      <w:r w:rsidR="009342A5">
        <w:rPr>
          <w:rFonts w:ascii="Times New Roman" w:hAnsi="Times New Roman"/>
          <w:sz w:val="24"/>
          <w:szCs w:val="24"/>
        </w:rPr>
        <w:t xml:space="preserve"> </w:t>
      </w:r>
      <w:r w:rsidR="00401B16">
        <w:rPr>
          <w:rFonts w:ascii="Times New Roman" w:hAnsi="Times New Roman"/>
          <w:sz w:val="24"/>
          <w:szCs w:val="24"/>
        </w:rPr>
        <w:t>to</w:t>
      </w:r>
      <w:r w:rsidR="00AC5DFA">
        <w:rPr>
          <w:rFonts w:ascii="Times New Roman" w:hAnsi="Times New Roman"/>
          <w:sz w:val="24"/>
          <w:szCs w:val="24"/>
        </w:rPr>
        <w:t xml:space="preserve"> what is shown on</w:t>
      </w:r>
      <w:r w:rsidR="00401B16">
        <w:rPr>
          <w:rFonts w:ascii="Times New Roman" w:hAnsi="Times New Roman"/>
          <w:sz w:val="24"/>
          <w:szCs w:val="24"/>
        </w:rPr>
        <w:t xml:space="preserve"> notice L-048713107</w:t>
      </w:r>
      <w:r w:rsidR="00492BAF">
        <w:rPr>
          <w:rFonts w:ascii="Times New Roman" w:hAnsi="Times New Roman"/>
          <w:sz w:val="24"/>
          <w:szCs w:val="24"/>
        </w:rPr>
        <w:t>-2</w:t>
      </w:r>
      <w:r w:rsidR="00401B16">
        <w:rPr>
          <w:rFonts w:ascii="Times New Roman" w:hAnsi="Times New Roman"/>
          <w:sz w:val="24"/>
          <w:szCs w:val="24"/>
        </w:rPr>
        <w:t xml:space="preserve"> </w:t>
      </w:r>
      <w:r w:rsidR="009342A5">
        <w:rPr>
          <w:rFonts w:ascii="Times New Roman" w:hAnsi="Times New Roman"/>
          <w:sz w:val="24"/>
          <w:szCs w:val="24"/>
        </w:rPr>
        <w:t>(</w:t>
      </w:r>
      <w:r w:rsidR="009342A5" w:rsidRPr="009342A5">
        <w:rPr>
          <w:rFonts w:ascii="Times New Roman" w:hAnsi="Times New Roman"/>
          <w:b/>
          <w:bCs/>
          <w:i/>
          <w:iCs/>
          <w:sz w:val="24"/>
          <w:szCs w:val="24"/>
        </w:rPr>
        <w:t>see</w:t>
      </w:r>
      <w:r w:rsidR="009342A5">
        <w:rPr>
          <w:rFonts w:ascii="Times New Roman" w:hAnsi="Times New Roman"/>
          <w:sz w:val="24"/>
          <w:szCs w:val="24"/>
        </w:rPr>
        <w:t xml:space="preserve"> finding of fact </w:t>
      </w:r>
      <w:r w:rsidR="00AC5DFA">
        <w:rPr>
          <w:rFonts w:ascii="Times New Roman" w:hAnsi="Times New Roman"/>
          <w:sz w:val="24"/>
          <w:szCs w:val="24"/>
        </w:rPr>
        <w:t>2</w:t>
      </w:r>
      <w:r w:rsidR="009342A5">
        <w:rPr>
          <w:rFonts w:ascii="Times New Roman" w:hAnsi="Times New Roman"/>
          <w:sz w:val="24"/>
          <w:szCs w:val="24"/>
        </w:rPr>
        <w:t>)</w:t>
      </w:r>
      <w:r>
        <w:rPr>
          <w:rFonts w:ascii="Times New Roman" w:hAnsi="Times New Roman"/>
          <w:sz w:val="24"/>
          <w:szCs w:val="24"/>
        </w:rPr>
        <w:t>.  Accordingly, the Division has offered proof sufficient to establish the mailing of notice L-0</w:t>
      </w:r>
      <w:r w:rsidR="00492BAF">
        <w:rPr>
          <w:rFonts w:ascii="Times New Roman" w:hAnsi="Times New Roman"/>
          <w:sz w:val="24"/>
          <w:szCs w:val="24"/>
        </w:rPr>
        <w:t>48713107-2</w:t>
      </w:r>
      <w:r>
        <w:rPr>
          <w:rFonts w:ascii="Times New Roman" w:hAnsi="Times New Roman"/>
          <w:sz w:val="24"/>
          <w:szCs w:val="24"/>
        </w:rPr>
        <w:t xml:space="preserve"> to petitioners</w:t>
      </w:r>
      <w:r w:rsidR="00492BAF">
        <w:rPr>
          <w:rFonts w:ascii="Times New Roman" w:hAnsi="Times New Roman"/>
          <w:sz w:val="24"/>
          <w:szCs w:val="24"/>
        </w:rPr>
        <w:t>’</w:t>
      </w:r>
      <w:r>
        <w:rPr>
          <w:rFonts w:ascii="Times New Roman" w:hAnsi="Times New Roman"/>
          <w:sz w:val="24"/>
          <w:szCs w:val="24"/>
        </w:rPr>
        <w:t xml:space="preserve"> last known address.   </w:t>
      </w:r>
      <w:r w:rsidR="00E91ED3" w:rsidRPr="00ED67F0">
        <w:rPr>
          <w:rFonts w:ascii="Times New Roman" w:hAnsi="Times New Roman"/>
          <w:sz w:val="24"/>
          <w:szCs w:val="24"/>
        </w:rPr>
        <w:t>It is thus concluded that the Division properly mailed notice L-0</w:t>
      </w:r>
      <w:r w:rsidR="00492BAF">
        <w:rPr>
          <w:rFonts w:ascii="Times New Roman" w:hAnsi="Times New Roman"/>
          <w:sz w:val="24"/>
          <w:szCs w:val="24"/>
        </w:rPr>
        <w:t>48713107-2</w:t>
      </w:r>
      <w:r w:rsidR="00E91ED3" w:rsidRPr="00ED67F0">
        <w:rPr>
          <w:rFonts w:ascii="Times New Roman" w:hAnsi="Times New Roman"/>
          <w:sz w:val="24"/>
          <w:szCs w:val="24"/>
        </w:rPr>
        <w:t xml:space="preserve"> on </w:t>
      </w:r>
      <w:r w:rsidR="00492BAF">
        <w:rPr>
          <w:rFonts w:ascii="Times New Roman" w:hAnsi="Times New Roman"/>
          <w:sz w:val="24"/>
          <w:szCs w:val="24"/>
        </w:rPr>
        <w:t>November 9</w:t>
      </w:r>
      <w:r w:rsidR="00E91ED3" w:rsidRPr="00ED67F0">
        <w:rPr>
          <w:rFonts w:ascii="Times New Roman" w:hAnsi="Times New Roman"/>
          <w:sz w:val="24"/>
          <w:szCs w:val="24"/>
        </w:rPr>
        <w:t>, 201</w:t>
      </w:r>
      <w:r w:rsidR="00492BAF">
        <w:rPr>
          <w:rFonts w:ascii="Times New Roman" w:hAnsi="Times New Roman"/>
          <w:sz w:val="24"/>
          <w:szCs w:val="24"/>
        </w:rPr>
        <w:t>8</w:t>
      </w:r>
      <w:r w:rsidR="00E91ED3" w:rsidRPr="00ED67F0">
        <w:rPr>
          <w:rFonts w:ascii="Times New Roman" w:hAnsi="Times New Roman"/>
          <w:sz w:val="24"/>
          <w:szCs w:val="24"/>
        </w:rPr>
        <w:t>, and the statutory 90-day time limit to file either a request for conciliation conference with BCMS or a petition with the Division of Tax Appeals in protest of that notice commenced on that date (</w:t>
      </w:r>
      <w:r w:rsidR="0008548E" w:rsidRPr="0008548E">
        <w:rPr>
          <w:rFonts w:ascii="Times New Roman" w:hAnsi="Times New Roman"/>
          <w:b/>
          <w:bCs/>
          <w:i/>
          <w:iCs/>
          <w:sz w:val="24"/>
          <w:szCs w:val="24"/>
        </w:rPr>
        <w:t>see</w:t>
      </w:r>
      <w:r w:rsidR="0008548E">
        <w:rPr>
          <w:rFonts w:ascii="Times New Roman" w:hAnsi="Times New Roman"/>
          <w:sz w:val="24"/>
          <w:szCs w:val="24"/>
        </w:rPr>
        <w:t xml:space="preserve"> </w:t>
      </w:r>
      <w:r w:rsidR="00E91ED3" w:rsidRPr="00ED67F0">
        <w:rPr>
          <w:rFonts w:ascii="Times New Roman" w:hAnsi="Times New Roman"/>
          <w:sz w:val="24"/>
          <w:szCs w:val="24"/>
        </w:rPr>
        <w:t>Tax Law §§ 170 [3-a] [a]; 681 [b]; 689 [b]).</w:t>
      </w:r>
    </w:p>
    <w:p w14:paraId="732F3130" w14:textId="6F07D6CA" w:rsidR="00AC24F6" w:rsidRDefault="00ED67F0" w:rsidP="005F39C1">
      <w:pPr>
        <w:pStyle w:val="ListParagraph"/>
        <w:numPr>
          <w:ilvl w:val="0"/>
          <w:numId w:val="9"/>
        </w:numPr>
        <w:spacing w:after="0" w:line="480" w:lineRule="auto"/>
        <w:ind w:left="0" w:firstLine="720"/>
        <w:rPr>
          <w:rFonts w:ascii="Times New Roman" w:hAnsi="Times New Roman"/>
          <w:sz w:val="24"/>
          <w:szCs w:val="24"/>
        </w:rPr>
      </w:pPr>
      <w:r>
        <w:rPr>
          <w:rFonts w:ascii="Times New Roman" w:hAnsi="Times New Roman"/>
          <w:sz w:val="24"/>
          <w:szCs w:val="24"/>
        </w:rPr>
        <w:t xml:space="preserve">  </w:t>
      </w:r>
      <w:r w:rsidR="00B004D6">
        <w:rPr>
          <w:rFonts w:ascii="Times New Roman" w:hAnsi="Times New Roman"/>
          <w:sz w:val="24"/>
          <w:szCs w:val="24"/>
        </w:rPr>
        <w:t>Petitioners</w:t>
      </w:r>
      <w:r w:rsidR="00492BAF">
        <w:rPr>
          <w:rFonts w:ascii="Times New Roman" w:hAnsi="Times New Roman"/>
          <w:sz w:val="24"/>
          <w:szCs w:val="24"/>
        </w:rPr>
        <w:t>’</w:t>
      </w:r>
      <w:r w:rsidR="00B004D6">
        <w:rPr>
          <w:rFonts w:ascii="Times New Roman" w:hAnsi="Times New Roman"/>
          <w:sz w:val="24"/>
          <w:szCs w:val="24"/>
        </w:rPr>
        <w:t xml:space="preserve"> request for conciliation conference for notice </w:t>
      </w:r>
      <w:r w:rsidR="00B004D6" w:rsidRPr="001C1734">
        <w:rPr>
          <w:rFonts w:ascii="Times New Roman" w:hAnsi="Times New Roman"/>
          <w:sz w:val="24"/>
          <w:szCs w:val="24"/>
        </w:rPr>
        <w:t>L-</w:t>
      </w:r>
      <w:r w:rsidR="001C1734">
        <w:rPr>
          <w:rFonts w:ascii="Times New Roman" w:hAnsi="Times New Roman"/>
          <w:sz w:val="24"/>
          <w:szCs w:val="24"/>
        </w:rPr>
        <w:t>0</w:t>
      </w:r>
      <w:r w:rsidR="00492BAF">
        <w:rPr>
          <w:rFonts w:ascii="Times New Roman" w:hAnsi="Times New Roman"/>
          <w:sz w:val="24"/>
          <w:szCs w:val="24"/>
        </w:rPr>
        <w:t>48713107-2</w:t>
      </w:r>
      <w:r w:rsidR="00B004D6" w:rsidRPr="00667C87">
        <w:rPr>
          <w:rFonts w:ascii="Times New Roman" w:hAnsi="Times New Roman"/>
          <w:color w:val="FF0000"/>
          <w:sz w:val="24"/>
          <w:szCs w:val="24"/>
        </w:rPr>
        <w:t xml:space="preserve"> </w:t>
      </w:r>
      <w:r w:rsidR="00B004D6">
        <w:rPr>
          <w:rFonts w:ascii="Times New Roman" w:hAnsi="Times New Roman"/>
          <w:sz w:val="24"/>
          <w:szCs w:val="24"/>
        </w:rPr>
        <w:t xml:space="preserve">was filed on August </w:t>
      </w:r>
      <w:r w:rsidR="00492BAF">
        <w:rPr>
          <w:rFonts w:ascii="Times New Roman" w:hAnsi="Times New Roman"/>
          <w:sz w:val="24"/>
          <w:szCs w:val="24"/>
        </w:rPr>
        <w:t>1</w:t>
      </w:r>
      <w:r w:rsidR="00B004D6">
        <w:rPr>
          <w:rFonts w:ascii="Times New Roman" w:hAnsi="Times New Roman"/>
          <w:sz w:val="24"/>
          <w:szCs w:val="24"/>
        </w:rPr>
        <w:t>5, 2019</w:t>
      </w:r>
      <w:r w:rsidR="00492BAF">
        <w:rPr>
          <w:rFonts w:ascii="Times New Roman" w:hAnsi="Times New Roman"/>
          <w:sz w:val="24"/>
          <w:szCs w:val="24"/>
        </w:rPr>
        <w:t xml:space="preserve"> (</w:t>
      </w:r>
      <w:r w:rsidR="00492BAF" w:rsidRPr="00492BAF">
        <w:rPr>
          <w:rFonts w:ascii="Times New Roman" w:hAnsi="Times New Roman"/>
          <w:b/>
          <w:bCs/>
          <w:i/>
          <w:iCs/>
          <w:sz w:val="24"/>
          <w:szCs w:val="24"/>
        </w:rPr>
        <w:t>see</w:t>
      </w:r>
      <w:r w:rsidR="00492BAF">
        <w:rPr>
          <w:rFonts w:ascii="Times New Roman" w:hAnsi="Times New Roman"/>
          <w:sz w:val="24"/>
          <w:szCs w:val="24"/>
        </w:rPr>
        <w:t xml:space="preserve"> finding of fact 3)</w:t>
      </w:r>
      <w:r w:rsidR="00B004D6">
        <w:rPr>
          <w:rFonts w:ascii="Times New Roman" w:hAnsi="Times New Roman"/>
          <w:sz w:val="24"/>
          <w:szCs w:val="24"/>
        </w:rPr>
        <w:t>.  This date falls after the 90-day period of limitation for the filing of such a request.  Consequently, the request was untimely (</w:t>
      </w:r>
      <w:r w:rsidR="00B004D6" w:rsidRPr="00B83F15">
        <w:rPr>
          <w:rFonts w:ascii="Times New Roman" w:hAnsi="Times New Roman"/>
          <w:b/>
          <w:bCs/>
          <w:i/>
          <w:iCs/>
          <w:sz w:val="24"/>
          <w:szCs w:val="24"/>
        </w:rPr>
        <w:t>see</w:t>
      </w:r>
      <w:r w:rsidR="00B004D6">
        <w:rPr>
          <w:rFonts w:ascii="Times New Roman" w:hAnsi="Times New Roman"/>
          <w:sz w:val="24"/>
          <w:szCs w:val="24"/>
        </w:rPr>
        <w:t xml:space="preserve"> Tax Law §§ 170 [3-a] [b]; </w:t>
      </w:r>
      <w:r w:rsidR="00E91ED3">
        <w:rPr>
          <w:rFonts w:ascii="Times New Roman" w:hAnsi="Times New Roman"/>
          <w:sz w:val="24"/>
          <w:szCs w:val="24"/>
        </w:rPr>
        <w:t>6</w:t>
      </w:r>
      <w:r w:rsidR="00B004D6">
        <w:rPr>
          <w:rFonts w:ascii="Times New Roman" w:hAnsi="Times New Roman"/>
          <w:sz w:val="24"/>
          <w:szCs w:val="24"/>
        </w:rPr>
        <w:t xml:space="preserve">81 [b]) and the same was properly dismissed by the </w:t>
      </w:r>
      <w:r w:rsidR="00492BAF">
        <w:rPr>
          <w:rFonts w:ascii="Times New Roman" w:hAnsi="Times New Roman"/>
          <w:sz w:val="24"/>
          <w:szCs w:val="24"/>
        </w:rPr>
        <w:t>September 6</w:t>
      </w:r>
      <w:r w:rsidR="00B004D6">
        <w:rPr>
          <w:rFonts w:ascii="Times New Roman" w:hAnsi="Times New Roman"/>
          <w:sz w:val="24"/>
          <w:szCs w:val="24"/>
        </w:rPr>
        <w:t>, 2019 conciliation order issued by BCMS.  Petitioner</w:t>
      </w:r>
      <w:r w:rsidR="00492BAF">
        <w:rPr>
          <w:rFonts w:ascii="Times New Roman" w:hAnsi="Times New Roman"/>
          <w:sz w:val="24"/>
          <w:szCs w:val="24"/>
        </w:rPr>
        <w:t>s</w:t>
      </w:r>
      <w:r w:rsidR="00B004D6">
        <w:rPr>
          <w:rFonts w:ascii="Times New Roman" w:hAnsi="Times New Roman"/>
          <w:sz w:val="24"/>
          <w:szCs w:val="24"/>
        </w:rPr>
        <w:t xml:space="preserve"> ha</w:t>
      </w:r>
      <w:r w:rsidR="00492BAF">
        <w:rPr>
          <w:rFonts w:ascii="Times New Roman" w:hAnsi="Times New Roman"/>
          <w:sz w:val="24"/>
          <w:szCs w:val="24"/>
        </w:rPr>
        <w:t>ve</w:t>
      </w:r>
      <w:r w:rsidR="00B004D6">
        <w:rPr>
          <w:rFonts w:ascii="Times New Roman" w:hAnsi="Times New Roman"/>
          <w:sz w:val="24"/>
          <w:szCs w:val="24"/>
        </w:rPr>
        <w:t xml:space="preserve"> offered no evidence to meet </w:t>
      </w:r>
      <w:r w:rsidR="00492BAF">
        <w:rPr>
          <w:rFonts w:ascii="Times New Roman" w:hAnsi="Times New Roman"/>
          <w:sz w:val="24"/>
          <w:szCs w:val="24"/>
        </w:rPr>
        <w:t>their</w:t>
      </w:r>
      <w:r w:rsidR="00B004D6">
        <w:rPr>
          <w:rFonts w:ascii="Times New Roman" w:hAnsi="Times New Roman"/>
          <w:sz w:val="24"/>
          <w:szCs w:val="24"/>
        </w:rPr>
        <w:t xml:space="preserve"> burden to prove that any timely protest was filed before the 90-day period of limitations for challenging the notice expired.</w:t>
      </w:r>
      <w:r w:rsidR="00667C87">
        <w:rPr>
          <w:rFonts w:ascii="Times New Roman" w:hAnsi="Times New Roman"/>
          <w:sz w:val="24"/>
          <w:szCs w:val="24"/>
        </w:rPr>
        <w:t xml:space="preserve"> </w:t>
      </w:r>
      <w:r w:rsidR="00B004D6">
        <w:rPr>
          <w:rFonts w:ascii="Times New Roman" w:hAnsi="Times New Roman"/>
          <w:sz w:val="24"/>
          <w:szCs w:val="24"/>
        </w:rPr>
        <w:t xml:space="preserve"> </w:t>
      </w:r>
    </w:p>
    <w:p w14:paraId="3916A1F3" w14:textId="6C8409FA" w:rsidR="004A0F8E" w:rsidRPr="004A0F8E" w:rsidRDefault="004A0F8E" w:rsidP="004A0F8E">
      <w:pPr>
        <w:spacing w:line="480" w:lineRule="auto"/>
        <w:ind w:firstLine="720"/>
        <w:rPr>
          <w:rFonts w:ascii="Times New Roman" w:hAnsi="Times New Roman"/>
          <w:sz w:val="24"/>
          <w:szCs w:val="24"/>
        </w:rPr>
      </w:pPr>
      <w:r>
        <w:rPr>
          <w:rFonts w:ascii="Times New Roman" w:hAnsi="Times New Roman"/>
          <w:sz w:val="24"/>
          <w:szCs w:val="24"/>
        </w:rPr>
        <w:t xml:space="preserve">I.  </w:t>
      </w:r>
      <w:r w:rsidRPr="004A0F8E">
        <w:rPr>
          <w:rFonts w:ascii="Times New Roman" w:hAnsi="Times New Roman"/>
          <w:sz w:val="24"/>
          <w:szCs w:val="24"/>
        </w:rPr>
        <w:t>The Division has established that petitioners’ appeal of notice L-048713107-2 to BCMS was untimely. Accordingly, the Division’s motion for summary determination is granted, the petition of Fawzia A. Mohamed and Ibrahim A. Hemeda is denied, and the conciliation order dismissing request, dated September 6, 2019, is sustained.</w:t>
      </w:r>
    </w:p>
    <w:p w14:paraId="21CFD25C" w14:textId="763EF82A" w:rsidR="00AC24F6" w:rsidRPr="00E600FE" w:rsidRDefault="00AC24F6" w:rsidP="00FA4DE9">
      <w:pPr>
        <w:spacing w:after="0" w:line="240" w:lineRule="auto"/>
        <w:rPr>
          <w:rFonts w:ascii="Times New Roman" w:hAnsi="Times New Roman"/>
          <w:sz w:val="24"/>
          <w:szCs w:val="24"/>
        </w:rPr>
      </w:pPr>
      <w:r w:rsidRPr="00E600FE">
        <w:rPr>
          <w:rFonts w:ascii="Times New Roman" w:hAnsi="Times New Roman"/>
          <w:sz w:val="24"/>
          <w:szCs w:val="24"/>
        </w:rPr>
        <w:t>DATED: Albany, New York</w:t>
      </w:r>
    </w:p>
    <w:p w14:paraId="05CA5F69" w14:textId="77777777" w:rsidR="00FA4DE9" w:rsidRDefault="00AC24F6" w:rsidP="00AC24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Pr>
          <w:rFonts w:ascii="Times New Roman" w:hAnsi="Times New Roman"/>
          <w:sz w:val="24"/>
          <w:szCs w:val="24"/>
        </w:rPr>
        <w:tab/>
      </w:r>
      <w:r w:rsidR="00FA4DE9">
        <w:rPr>
          <w:rFonts w:ascii="Times New Roman" w:hAnsi="Times New Roman"/>
          <w:sz w:val="24"/>
          <w:szCs w:val="24"/>
        </w:rPr>
        <w:t xml:space="preserve">    July 16, 2020</w:t>
      </w:r>
    </w:p>
    <w:p w14:paraId="0361DF46" w14:textId="77777777" w:rsidR="00FA4DE9" w:rsidRDefault="00FA4DE9" w:rsidP="00AC24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14:paraId="30C8DCBB" w14:textId="3D81C2F2" w:rsidR="00AC24F6" w:rsidRPr="00FA4DE9" w:rsidRDefault="00AC24F6" w:rsidP="00AC24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A4DE9" w:rsidRPr="00FA4DE9">
        <w:rPr>
          <w:rFonts w:ascii="Times New Roman" w:hAnsi="Times New Roman"/>
          <w:sz w:val="24"/>
          <w:szCs w:val="24"/>
          <w:u w:val="single"/>
        </w:rPr>
        <w:t>/s/  Jessica DiFiore</w:t>
      </w:r>
      <w:r w:rsidR="00FA4DE9">
        <w:rPr>
          <w:rFonts w:ascii="Times New Roman" w:hAnsi="Times New Roman"/>
          <w:sz w:val="24"/>
          <w:szCs w:val="24"/>
          <w:u w:val="single"/>
        </w:rPr>
        <w:softHyphen/>
      </w:r>
      <w:r w:rsidR="00FA4DE9">
        <w:rPr>
          <w:rFonts w:ascii="Times New Roman" w:hAnsi="Times New Roman"/>
          <w:sz w:val="24"/>
          <w:szCs w:val="24"/>
          <w:u w:val="single"/>
        </w:rPr>
        <w:softHyphen/>
        <w:t>______________</w:t>
      </w:r>
      <w:bookmarkStart w:id="0" w:name="_GoBack"/>
      <w:bookmarkEnd w:id="0"/>
    </w:p>
    <w:p w14:paraId="45E1F07E" w14:textId="623C5F58" w:rsidR="00760B10" w:rsidRDefault="00AC24F6" w:rsidP="007A2B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sidRPr="00AC24F6">
        <w:rPr>
          <w:rFonts w:ascii="Times New Roman" w:hAnsi="Times New Roman"/>
          <w:sz w:val="24"/>
          <w:szCs w:val="24"/>
        </w:rPr>
        <w:tab/>
      </w:r>
      <w:r w:rsidRPr="00AC24F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C24F6">
        <w:rPr>
          <w:rFonts w:ascii="Times New Roman" w:hAnsi="Times New Roman"/>
          <w:sz w:val="24"/>
          <w:szCs w:val="24"/>
        </w:rPr>
        <w:t>ADMINISTRATIVE LAW JUDGE</w:t>
      </w:r>
    </w:p>
    <w:p w14:paraId="4CA0C371" w14:textId="06F84B6A" w:rsidR="00760B10" w:rsidRPr="00EF1FB7" w:rsidRDefault="00760B10" w:rsidP="00EF1FB7">
      <w:pPr>
        <w:spacing w:after="0" w:line="480" w:lineRule="auto"/>
        <w:rPr>
          <w:rFonts w:ascii="Times New Roman" w:hAnsi="Times New Roman"/>
          <w:sz w:val="24"/>
          <w:szCs w:val="24"/>
        </w:rPr>
      </w:pPr>
    </w:p>
    <w:sectPr w:rsidR="00760B10" w:rsidRPr="00EF1FB7" w:rsidSect="00AE55B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7F933" w14:textId="77777777" w:rsidR="0006679C" w:rsidRDefault="0006679C" w:rsidP="00AE55B4">
      <w:pPr>
        <w:spacing w:after="0" w:line="240" w:lineRule="auto"/>
      </w:pPr>
      <w:r>
        <w:separator/>
      </w:r>
    </w:p>
  </w:endnote>
  <w:endnote w:type="continuationSeparator" w:id="0">
    <w:p w14:paraId="142DA219" w14:textId="77777777" w:rsidR="0006679C" w:rsidRDefault="0006679C" w:rsidP="00AE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394DC" w14:textId="77777777" w:rsidR="0006679C" w:rsidRDefault="0006679C" w:rsidP="00AE55B4">
      <w:pPr>
        <w:spacing w:after="0" w:line="240" w:lineRule="auto"/>
      </w:pPr>
      <w:r>
        <w:separator/>
      </w:r>
    </w:p>
  </w:footnote>
  <w:footnote w:type="continuationSeparator" w:id="0">
    <w:p w14:paraId="43C01D15" w14:textId="77777777" w:rsidR="0006679C" w:rsidRDefault="0006679C" w:rsidP="00AE5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5F694" w14:textId="77777777" w:rsidR="0006679C" w:rsidRPr="00AE55B4" w:rsidRDefault="0006679C" w:rsidP="00AE55B4">
    <w:pPr>
      <w:pStyle w:val="Header"/>
      <w:jc w:val="center"/>
      <w:rPr>
        <w:rFonts w:ascii="Times New Roman" w:hAnsi="Times New Roman"/>
        <w:sz w:val="20"/>
        <w:szCs w:val="20"/>
      </w:rPr>
    </w:pPr>
    <w:r w:rsidRPr="00AE55B4">
      <w:rPr>
        <w:rFonts w:ascii="Times New Roman" w:hAnsi="Times New Roman"/>
        <w:sz w:val="20"/>
        <w:szCs w:val="20"/>
      </w:rPr>
      <w:t>-</w:t>
    </w:r>
    <w:r w:rsidRPr="00AE55B4">
      <w:rPr>
        <w:rFonts w:ascii="Times New Roman" w:hAnsi="Times New Roman"/>
        <w:sz w:val="20"/>
        <w:szCs w:val="20"/>
      </w:rPr>
      <w:fldChar w:fldCharType="begin"/>
    </w:r>
    <w:r w:rsidRPr="00AE55B4">
      <w:rPr>
        <w:rFonts w:ascii="Times New Roman" w:hAnsi="Times New Roman"/>
        <w:sz w:val="20"/>
        <w:szCs w:val="20"/>
      </w:rPr>
      <w:instrText xml:space="preserve"> PAGE   \* MERGEFORMAT </w:instrText>
    </w:r>
    <w:r w:rsidRPr="00AE55B4">
      <w:rPr>
        <w:rFonts w:ascii="Times New Roman" w:hAnsi="Times New Roman"/>
        <w:sz w:val="20"/>
        <w:szCs w:val="20"/>
      </w:rPr>
      <w:fldChar w:fldCharType="separate"/>
    </w:r>
    <w:r w:rsidRPr="00AE55B4">
      <w:rPr>
        <w:rFonts w:ascii="Times New Roman" w:hAnsi="Times New Roman"/>
        <w:noProof/>
        <w:sz w:val="20"/>
        <w:szCs w:val="20"/>
      </w:rPr>
      <w:t>1</w:t>
    </w:r>
    <w:r w:rsidRPr="00AE55B4">
      <w:rPr>
        <w:rFonts w:ascii="Times New Roman" w:hAnsi="Times New Roman"/>
        <w:noProof/>
        <w:sz w:val="20"/>
        <w:szCs w:val="20"/>
      </w:rPr>
      <w:fldChar w:fldCharType="end"/>
    </w:r>
    <w:r w:rsidRPr="00AE55B4">
      <w:rPr>
        <w:rFonts w:ascii="Times New Roman" w:hAnsi="Times New Roman"/>
        <w:noProof/>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75B7A" w14:textId="158534AA" w:rsidR="004E01DF" w:rsidRDefault="004E01DF" w:rsidP="004E01DF">
    <w:pPr>
      <w:pStyle w:val="Header"/>
      <w:jc w:val="right"/>
    </w:pPr>
  </w:p>
  <w:p w14:paraId="6520103E" w14:textId="6E4234B7" w:rsidR="004E01DF" w:rsidRDefault="004E01DF" w:rsidP="004E01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15C67"/>
    <w:multiLevelType w:val="hybridMultilevel"/>
    <w:tmpl w:val="17EE89F8"/>
    <w:lvl w:ilvl="0" w:tplc="4ED22060">
      <w:start w:val="1"/>
      <w:numFmt w:val="decimal"/>
      <w:suff w:val="nothing"/>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591735"/>
    <w:multiLevelType w:val="hybridMultilevel"/>
    <w:tmpl w:val="14544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B7C93"/>
    <w:multiLevelType w:val="hybridMultilevel"/>
    <w:tmpl w:val="B11E7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E6387"/>
    <w:multiLevelType w:val="hybridMultilevel"/>
    <w:tmpl w:val="E0D0184A"/>
    <w:lvl w:ilvl="0" w:tplc="4AE82820">
      <w:start w:val="1"/>
      <w:numFmt w:val="upperRoman"/>
      <w:lvlText w:val="%1."/>
      <w:lvlJc w:val="left"/>
      <w:pPr>
        <w:ind w:left="1080" w:hanging="720"/>
      </w:pPr>
      <w:rPr>
        <w:rFonts w:eastAsia="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8C4630"/>
    <w:multiLevelType w:val="hybridMultilevel"/>
    <w:tmpl w:val="7E20FA10"/>
    <w:lvl w:ilvl="0" w:tplc="0FF6A3FA">
      <w:start w:val="1"/>
      <w:numFmt w:val="decimal"/>
      <w:suff w:val="nothing"/>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5D60DC0"/>
    <w:multiLevelType w:val="hybridMultilevel"/>
    <w:tmpl w:val="3E38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054EE"/>
    <w:multiLevelType w:val="hybridMultilevel"/>
    <w:tmpl w:val="1264C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93F9A"/>
    <w:multiLevelType w:val="hybridMultilevel"/>
    <w:tmpl w:val="4C8052E4"/>
    <w:lvl w:ilvl="0" w:tplc="EA4AB946">
      <w:start w:val="1"/>
      <w:numFmt w:val="upperLetter"/>
      <w:suff w:val="nothing"/>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A37B93"/>
    <w:multiLevelType w:val="hybridMultilevel"/>
    <w:tmpl w:val="BE6823DA"/>
    <w:lvl w:ilvl="0" w:tplc="A6989028">
      <w:start w:val="1"/>
      <w:numFmt w:val="upperRoman"/>
      <w:suff w:val="noth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160CF"/>
    <w:multiLevelType w:val="hybridMultilevel"/>
    <w:tmpl w:val="720A5CE0"/>
    <w:lvl w:ilvl="0" w:tplc="2BA4877C">
      <w:start w:val="1"/>
      <w:numFmt w:val="decimal"/>
      <w:suff w:val="nothing"/>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CA6941"/>
    <w:multiLevelType w:val="hybridMultilevel"/>
    <w:tmpl w:val="A5B49E9C"/>
    <w:lvl w:ilvl="0" w:tplc="AC802FFE">
      <w:start w:val="1"/>
      <w:numFmt w:val="decimal"/>
      <w:suff w:val="nothing"/>
      <w:lvlText w:val="%1."/>
      <w:lvlJc w:val="left"/>
      <w:pPr>
        <w:ind w:left="1562" w:hanging="360"/>
      </w:pPr>
      <w:rPr>
        <w:rFonts w:hint="default"/>
      </w:r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num w:numId="1">
    <w:abstractNumId w:val="5"/>
  </w:num>
  <w:num w:numId="2">
    <w:abstractNumId w:val="4"/>
  </w:num>
  <w:num w:numId="3">
    <w:abstractNumId w:val="9"/>
  </w:num>
  <w:num w:numId="4">
    <w:abstractNumId w:val="1"/>
  </w:num>
  <w:num w:numId="5">
    <w:abstractNumId w:val="2"/>
  </w:num>
  <w:num w:numId="6">
    <w:abstractNumId w:val="6"/>
  </w:num>
  <w:num w:numId="7">
    <w:abstractNumId w:val="0"/>
  </w:num>
  <w:num w:numId="8">
    <w:abstractNumId w:val="8"/>
  </w:num>
  <w:num w:numId="9">
    <w:abstractNumId w:val="7"/>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35"/>
    <w:rsid w:val="00000E6B"/>
    <w:rsid w:val="000045DB"/>
    <w:rsid w:val="00036C26"/>
    <w:rsid w:val="00040514"/>
    <w:rsid w:val="000463BF"/>
    <w:rsid w:val="0006679C"/>
    <w:rsid w:val="00073EA9"/>
    <w:rsid w:val="00074C50"/>
    <w:rsid w:val="000827F9"/>
    <w:rsid w:val="0008401D"/>
    <w:rsid w:val="0008548E"/>
    <w:rsid w:val="000A0E71"/>
    <w:rsid w:val="000A2A23"/>
    <w:rsid w:val="000B39C0"/>
    <w:rsid w:val="000B5A2F"/>
    <w:rsid w:val="000C38F8"/>
    <w:rsid w:val="000D67C1"/>
    <w:rsid w:val="001049C0"/>
    <w:rsid w:val="00107A5F"/>
    <w:rsid w:val="00110BBC"/>
    <w:rsid w:val="00111053"/>
    <w:rsid w:val="00112095"/>
    <w:rsid w:val="00120A67"/>
    <w:rsid w:val="00130ACF"/>
    <w:rsid w:val="00136DD0"/>
    <w:rsid w:val="0015013E"/>
    <w:rsid w:val="001573B7"/>
    <w:rsid w:val="00165F77"/>
    <w:rsid w:val="00183602"/>
    <w:rsid w:val="00190A29"/>
    <w:rsid w:val="00192EFD"/>
    <w:rsid w:val="00197738"/>
    <w:rsid w:val="001A7A7A"/>
    <w:rsid w:val="001A7B5B"/>
    <w:rsid w:val="001B6767"/>
    <w:rsid w:val="001C1734"/>
    <w:rsid w:val="001C3D4C"/>
    <w:rsid w:val="001C73A3"/>
    <w:rsid w:val="001E755B"/>
    <w:rsid w:val="001F71EE"/>
    <w:rsid w:val="002014EE"/>
    <w:rsid w:val="0020491F"/>
    <w:rsid w:val="002066DC"/>
    <w:rsid w:val="002206E6"/>
    <w:rsid w:val="00262B66"/>
    <w:rsid w:val="0027436D"/>
    <w:rsid w:val="0027704B"/>
    <w:rsid w:val="00296807"/>
    <w:rsid w:val="00296863"/>
    <w:rsid w:val="002A433A"/>
    <w:rsid w:val="002B6E6D"/>
    <w:rsid w:val="002C2928"/>
    <w:rsid w:val="002C4CC5"/>
    <w:rsid w:val="002D156F"/>
    <w:rsid w:val="002D7429"/>
    <w:rsid w:val="002E55E7"/>
    <w:rsid w:val="002F48A2"/>
    <w:rsid w:val="00300168"/>
    <w:rsid w:val="00303E79"/>
    <w:rsid w:val="00304AC6"/>
    <w:rsid w:val="00315672"/>
    <w:rsid w:val="00334148"/>
    <w:rsid w:val="00346DB8"/>
    <w:rsid w:val="0035194B"/>
    <w:rsid w:val="00355748"/>
    <w:rsid w:val="003718F6"/>
    <w:rsid w:val="0038187A"/>
    <w:rsid w:val="00383BBF"/>
    <w:rsid w:val="003B125C"/>
    <w:rsid w:val="003B5FCD"/>
    <w:rsid w:val="003D0116"/>
    <w:rsid w:val="00401B16"/>
    <w:rsid w:val="00403714"/>
    <w:rsid w:val="00404B15"/>
    <w:rsid w:val="00405337"/>
    <w:rsid w:val="00416E02"/>
    <w:rsid w:val="00421606"/>
    <w:rsid w:val="004422A2"/>
    <w:rsid w:val="00453B51"/>
    <w:rsid w:val="00466100"/>
    <w:rsid w:val="0046650C"/>
    <w:rsid w:val="0047343B"/>
    <w:rsid w:val="00484A95"/>
    <w:rsid w:val="004875F1"/>
    <w:rsid w:val="00492BAF"/>
    <w:rsid w:val="004945D9"/>
    <w:rsid w:val="0049678F"/>
    <w:rsid w:val="004A0F8E"/>
    <w:rsid w:val="004B21DE"/>
    <w:rsid w:val="004B6735"/>
    <w:rsid w:val="004C03D2"/>
    <w:rsid w:val="004C03F6"/>
    <w:rsid w:val="004C1EDE"/>
    <w:rsid w:val="004C77B0"/>
    <w:rsid w:val="004D2833"/>
    <w:rsid w:val="004E01DF"/>
    <w:rsid w:val="004E6EAE"/>
    <w:rsid w:val="005062C1"/>
    <w:rsid w:val="0051123B"/>
    <w:rsid w:val="00523BE7"/>
    <w:rsid w:val="00544D0E"/>
    <w:rsid w:val="005631B9"/>
    <w:rsid w:val="00580078"/>
    <w:rsid w:val="0058248C"/>
    <w:rsid w:val="00593DE6"/>
    <w:rsid w:val="00596C39"/>
    <w:rsid w:val="005A5FCB"/>
    <w:rsid w:val="005A61C5"/>
    <w:rsid w:val="005B5810"/>
    <w:rsid w:val="005C09C3"/>
    <w:rsid w:val="005C1066"/>
    <w:rsid w:val="005C6DCA"/>
    <w:rsid w:val="005C763D"/>
    <w:rsid w:val="005D0A17"/>
    <w:rsid w:val="005D4149"/>
    <w:rsid w:val="005D7727"/>
    <w:rsid w:val="005E0354"/>
    <w:rsid w:val="005E32C2"/>
    <w:rsid w:val="005E675E"/>
    <w:rsid w:val="005E67A0"/>
    <w:rsid w:val="005F39C1"/>
    <w:rsid w:val="005F6F00"/>
    <w:rsid w:val="0061220D"/>
    <w:rsid w:val="00623A45"/>
    <w:rsid w:val="0062451B"/>
    <w:rsid w:val="0063568F"/>
    <w:rsid w:val="00652611"/>
    <w:rsid w:val="00654D4C"/>
    <w:rsid w:val="006558D2"/>
    <w:rsid w:val="006561A7"/>
    <w:rsid w:val="00662D5F"/>
    <w:rsid w:val="00662E44"/>
    <w:rsid w:val="00667C87"/>
    <w:rsid w:val="00672855"/>
    <w:rsid w:val="0068318B"/>
    <w:rsid w:val="00684ECD"/>
    <w:rsid w:val="00685BEA"/>
    <w:rsid w:val="00691519"/>
    <w:rsid w:val="006953E9"/>
    <w:rsid w:val="006B4FA5"/>
    <w:rsid w:val="006C2466"/>
    <w:rsid w:val="006C52FF"/>
    <w:rsid w:val="006D1222"/>
    <w:rsid w:val="006E0844"/>
    <w:rsid w:val="006E2ACB"/>
    <w:rsid w:val="006F3960"/>
    <w:rsid w:val="006F532E"/>
    <w:rsid w:val="007044DE"/>
    <w:rsid w:val="00720664"/>
    <w:rsid w:val="00720C12"/>
    <w:rsid w:val="007531EB"/>
    <w:rsid w:val="00754DCD"/>
    <w:rsid w:val="00760B10"/>
    <w:rsid w:val="00762E6F"/>
    <w:rsid w:val="00785CA7"/>
    <w:rsid w:val="0079061B"/>
    <w:rsid w:val="007A2BE7"/>
    <w:rsid w:val="007B0076"/>
    <w:rsid w:val="007B7A4C"/>
    <w:rsid w:val="007C652D"/>
    <w:rsid w:val="007E0B59"/>
    <w:rsid w:val="007E130A"/>
    <w:rsid w:val="007E47C9"/>
    <w:rsid w:val="007E59FA"/>
    <w:rsid w:val="007F12A9"/>
    <w:rsid w:val="007F2BA2"/>
    <w:rsid w:val="007F6681"/>
    <w:rsid w:val="007F7194"/>
    <w:rsid w:val="008106D1"/>
    <w:rsid w:val="00812DA3"/>
    <w:rsid w:val="0081486E"/>
    <w:rsid w:val="00815A2C"/>
    <w:rsid w:val="00824B03"/>
    <w:rsid w:val="00826EC6"/>
    <w:rsid w:val="008358DD"/>
    <w:rsid w:val="00842BBB"/>
    <w:rsid w:val="00845033"/>
    <w:rsid w:val="0084787C"/>
    <w:rsid w:val="00857477"/>
    <w:rsid w:val="00864560"/>
    <w:rsid w:val="00865E41"/>
    <w:rsid w:val="00866903"/>
    <w:rsid w:val="00871DE1"/>
    <w:rsid w:val="0087567F"/>
    <w:rsid w:val="00875E94"/>
    <w:rsid w:val="00877464"/>
    <w:rsid w:val="008933C0"/>
    <w:rsid w:val="00894419"/>
    <w:rsid w:val="008C3AEE"/>
    <w:rsid w:val="008C6D3E"/>
    <w:rsid w:val="008D10A2"/>
    <w:rsid w:val="008D137A"/>
    <w:rsid w:val="008D7226"/>
    <w:rsid w:val="008E1FAE"/>
    <w:rsid w:val="008F19B6"/>
    <w:rsid w:val="008F38D3"/>
    <w:rsid w:val="009044F5"/>
    <w:rsid w:val="00906CAE"/>
    <w:rsid w:val="0090744B"/>
    <w:rsid w:val="00911A38"/>
    <w:rsid w:val="00914119"/>
    <w:rsid w:val="00924EBE"/>
    <w:rsid w:val="00927D9B"/>
    <w:rsid w:val="009324CA"/>
    <w:rsid w:val="009342A5"/>
    <w:rsid w:val="00950667"/>
    <w:rsid w:val="00955853"/>
    <w:rsid w:val="0095746E"/>
    <w:rsid w:val="00960CFA"/>
    <w:rsid w:val="00976EB5"/>
    <w:rsid w:val="00995798"/>
    <w:rsid w:val="00995938"/>
    <w:rsid w:val="00996087"/>
    <w:rsid w:val="009A3B0E"/>
    <w:rsid w:val="009A3EA5"/>
    <w:rsid w:val="009A4423"/>
    <w:rsid w:val="009B04D8"/>
    <w:rsid w:val="009B4F82"/>
    <w:rsid w:val="009B5165"/>
    <w:rsid w:val="009C15A9"/>
    <w:rsid w:val="009C34BF"/>
    <w:rsid w:val="009D64FF"/>
    <w:rsid w:val="009F5605"/>
    <w:rsid w:val="009F5DAD"/>
    <w:rsid w:val="00A262CE"/>
    <w:rsid w:val="00A506B7"/>
    <w:rsid w:val="00A556DC"/>
    <w:rsid w:val="00A570F7"/>
    <w:rsid w:val="00A5760D"/>
    <w:rsid w:val="00A6106C"/>
    <w:rsid w:val="00A63220"/>
    <w:rsid w:val="00A7506F"/>
    <w:rsid w:val="00A76CB4"/>
    <w:rsid w:val="00A81C5B"/>
    <w:rsid w:val="00A8303E"/>
    <w:rsid w:val="00A83732"/>
    <w:rsid w:val="00A84B0A"/>
    <w:rsid w:val="00AB60E7"/>
    <w:rsid w:val="00AC24F6"/>
    <w:rsid w:val="00AC5DFA"/>
    <w:rsid w:val="00AC6627"/>
    <w:rsid w:val="00AC7D39"/>
    <w:rsid w:val="00AD3779"/>
    <w:rsid w:val="00AD384C"/>
    <w:rsid w:val="00AE3089"/>
    <w:rsid w:val="00AE3BCD"/>
    <w:rsid w:val="00AE55B4"/>
    <w:rsid w:val="00AE59B6"/>
    <w:rsid w:val="00AE5B7C"/>
    <w:rsid w:val="00AE6366"/>
    <w:rsid w:val="00AF0A24"/>
    <w:rsid w:val="00AF0E0F"/>
    <w:rsid w:val="00AF595E"/>
    <w:rsid w:val="00AF78F4"/>
    <w:rsid w:val="00AF7D33"/>
    <w:rsid w:val="00B004D6"/>
    <w:rsid w:val="00B271C7"/>
    <w:rsid w:val="00B44C64"/>
    <w:rsid w:val="00B675DB"/>
    <w:rsid w:val="00B71406"/>
    <w:rsid w:val="00B80E25"/>
    <w:rsid w:val="00B83F15"/>
    <w:rsid w:val="00B961B2"/>
    <w:rsid w:val="00BB1EF6"/>
    <w:rsid w:val="00BC0901"/>
    <w:rsid w:val="00BC1513"/>
    <w:rsid w:val="00BE13C2"/>
    <w:rsid w:val="00BF28F4"/>
    <w:rsid w:val="00BF72E4"/>
    <w:rsid w:val="00C0763A"/>
    <w:rsid w:val="00C11FFD"/>
    <w:rsid w:val="00C12FE4"/>
    <w:rsid w:val="00C2447C"/>
    <w:rsid w:val="00C31261"/>
    <w:rsid w:val="00C47E21"/>
    <w:rsid w:val="00C62A30"/>
    <w:rsid w:val="00C82310"/>
    <w:rsid w:val="00C92ABE"/>
    <w:rsid w:val="00C97101"/>
    <w:rsid w:val="00C9724B"/>
    <w:rsid w:val="00C97ED2"/>
    <w:rsid w:val="00CA6F13"/>
    <w:rsid w:val="00CC419D"/>
    <w:rsid w:val="00CD5449"/>
    <w:rsid w:val="00CE44B9"/>
    <w:rsid w:val="00D1755C"/>
    <w:rsid w:val="00D303D6"/>
    <w:rsid w:val="00D44511"/>
    <w:rsid w:val="00D56735"/>
    <w:rsid w:val="00D57F4D"/>
    <w:rsid w:val="00D6507D"/>
    <w:rsid w:val="00D67A08"/>
    <w:rsid w:val="00D76D88"/>
    <w:rsid w:val="00D77C6A"/>
    <w:rsid w:val="00D85D15"/>
    <w:rsid w:val="00DB0901"/>
    <w:rsid w:val="00DC46A4"/>
    <w:rsid w:val="00DD1EC9"/>
    <w:rsid w:val="00DE14F2"/>
    <w:rsid w:val="00DF4CA7"/>
    <w:rsid w:val="00E07A02"/>
    <w:rsid w:val="00E11161"/>
    <w:rsid w:val="00E2590C"/>
    <w:rsid w:val="00E34FBD"/>
    <w:rsid w:val="00E43660"/>
    <w:rsid w:val="00E43894"/>
    <w:rsid w:val="00E44C53"/>
    <w:rsid w:val="00E4611F"/>
    <w:rsid w:val="00E46D82"/>
    <w:rsid w:val="00E530BF"/>
    <w:rsid w:val="00E600FE"/>
    <w:rsid w:val="00E61948"/>
    <w:rsid w:val="00E7496E"/>
    <w:rsid w:val="00E80255"/>
    <w:rsid w:val="00E91ED3"/>
    <w:rsid w:val="00EA11D0"/>
    <w:rsid w:val="00EB7B06"/>
    <w:rsid w:val="00EC055A"/>
    <w:rsid w:val="00EC1B70"/>
    <w:rsid w:val="00EC23E7"/>
    <w:rsid w:val="00EC5F96"/>
    <w:rsid w:val="00ED4F3D"/>
    <w:rsid w:val="00ED67F0"/>
    <w:rsid w:val="00ED7A4B"/>
    <w:rsid w:val="00EE06B6"/>
    <w:rsid w:val="00EE1CD2"/>
    <w:rsid w:val="00EF1FB7"/>
    <w:rsid w:val="00EF4B19"/>
    <w:rsid w:val="00F0305A"/>
    <w:rsid w:val="00F13FC3"/>
    <w:rsid w:val="00F16A49"/>
    <w:rsid w:val="00F173E2"/>
    <w:rsid w:val="00F17C30"/>
    <w:rsid w:val="00F204FE"/>
    <w:rsid w:val="00F2188A"/>
    <w:rsid w:val="00F21A4D"/>
    <w:rsid w:val="00F32FE6"/>
    <w:rsid w:val="00F367F5"/>
    <w:rsid w:val="00F571B7"/>
    <w:rsid w:val="00F60050"/>
    <w:rsid w:val="00F61713"/>
    <w:rsid w:val="00F73981"/>
    <w:rsid w:val="00F759DD"/>
    <w:rsid w:val="00F8772C"/>
    <w:rsid w:val="00F96FBA"/>
    <w:rsid w:val="00F978E7"/>
    <w:rsid w:val="00FA4DE9"/>
    <w:rsid w:val="00FA5712"/>
    <w:rsid w:val="00FC17F2"/>
    <w:rsid w:val="00FC3805"/>
    <w:rsid w:val="00FE183C"/>
    <w:rsid w:val="00FF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20AE4"/>
  <w15:chartTrackingRefBased/>
  <w15:docId w15:val="{3097F08A-11D0-40ED-BB7D-9782E0AE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55B4"/>
    <w:pPr>
      <w:tabs>
        <w:tab w:val="center" w:pos="4680"/>
        <w:tab w:val="right" w:pos="9360"/>
      </w:tabs>
    </w:pPr>
  </w:style>
  <w:style w:type="character" w:customStyle="1" w:styleId="HeaderChar">
    <w:name w:val="Header Char"/>
    <w:link w:val="Header"/>
    <w:uiPriority w:val="99"/>
    <w:rsid w:val="00AE55B4"/>
    <w:rPr>
      <w:sz w:val="22"/>
      <w:szCs w:val="22"/>
    </w:rPr>
  </w:style>
  <w:style w:type="paragraph" w:styleId="Footer">
    <w:name w:val="footer"/>
    <w:basedOn w:val="Normal"/>
    <w:link w:val="FooterChar"/>
    <w:uiPriority w:val="99"/>
    <w:unhideWhenUsed/>
    <w:rsid w:val="00AE55B4"/>
    <w:pPr>
      <w:tabs>
        <w:tab w:val="center" w:pos="4680"/>
        <w:tab w:val="right" w:pos="9360"/>
      </w:tabs>
    </w:pPr>
  </w:style>
  <w:style w:type="character" w:customStyle="1" w:styleId="FooterChar">
    <w:name w:val="Footer Char"/>
    <w:link w:val="Footer"/>
    <w:uiPriority w:val="99"/>
    <w:rsid w:val="00AE55B4"/>
    <w:rPr>
      <w:sz w:val="22"/>
      <w:szCs w:val="22"/>
    </w:rPr>
  </w:style>
  <w:style w:type="paragraph" w:styleId="ListParagraph">
    <w:name w:val="List Paragraph"/>
    <w:basedOn w:val="Normal"/>
    <w:uiPriority w:val="34"/>
    <w:qFormat/>
    <w:rsid w:val="00D6507D"/>
    <w:pPr>
      <w:ind w:left="720"/>
      <w:contextualSpacing/>
    </w:pPr>
  </w:style>
  <w:style w:type="character" w:styleId="CommentReference">
    <w:name w:val="annotation reference"/>
    <w:basedOn w:val="DefaultParagraphFont"/>
    <w:uiPriority w:val="99"/>
    <w:semiHidden/>
    <w:unhideWhenUsed/>
    <w:rsid w:val="00073EA9"/>
    <w:rPr>
      <w:sz w:val="16"/>
      <w:szCs w:val="16"/>
    </w:rPr>
  </w:style>
  <w:style w:type="paragraph" w:styleId="CommentText">
    <w:name w:val="annotation text"/>
    <w:basedOn w:val="Normal"/>
    <w:link w:val="CommentTextChar"/>
    <w:uiPriority w:val="99"/>
    <w:semiHidden/>
    <w:unhideWhenUsed/>
    <w:rsid w:val="00073EA9"/>
    <w:pPr>
      <w:spacing w:line="240" w:lineRule="auto"/>
    </w:pPr>
    <w:rPr>
      <w:sz w:val="20"/>
      <w:szCs w:val="20"/>
    </w:rPr>
  </w:style>
  <w:style w:type="character" w:customStyle="1" w:styleId="CommentTextChar">
    <w:name w:val="Comment Text Char"/>
    <w:basedOn w:val="DefaultParagraphFont"/>
    <w:link w:val="CommentText"/>
    <w:uiPriority w:val="99"/>
    <w:semiHidden/>
    <w:rsid w:val="00073EA9"/>
  </w:style>
  <w:style w:type="paragraph" w:styleId="CommentSubject">
    <w:name w:val="annotation subject"/>
    <w:basedOn w:val="CommentText"/>
    <w:next w:val="CommentText"/>
    <w:link w:val="CommentSubjectChar"/>
    <w:uiPriority w:val="99"/>
    <w:semiHidden/>
    <w:unhideWhenUsed/>
    <w:rsid w:val="00073EA9"/>
    <w:rPr>
      <w:b/>
      <w:bCs/>
    </w:rPr>
  </w:style>
  <w:style w:type="character" w:customStyle="1" w:styleId="CommentSubjectChar">
    <w:name w:val="Comment Subject Char"/>
    <w:basedOn w:val="CommentTextChar"/>
    <w:link w:val="CommentSubject"/>
    <w:uiPriority w:val="99"/>
    <w:semiHidden/>
    <w:rsid w:val="00073EA9"/>
    <w:rPr>
      <w:b/>
      <w:bCs/>
    </w:rPr>
  </w:style>
  <w:style w:type="paragraph" w:styleId="BalloonText">
    <w:name w:val="Balloon Text"/>
    <w:basedOn w:val="Normal"/>
    <w:link w:val="BalloonTextChar"/>
    <w:uiPriority w:val="99"/>
    <w:semiHidden/>
    <w:unhideWhenUsed/>
    <w:rsid w:val="00073E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E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3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TAJDifiore\AppData\Local\Microsoft\Windows\INetCache\Content.Outlook\EZ2FSG2Q\DTA%20Determin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62A83-057D-4D32-A614-5768A98C6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DTA Determination Template</Template>
  <TotalTime>29</TotalTime>
  <Pages>10</Pages>
  <Words>2723</Words>
  <Characters>15525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Difiore, Jessica (DTA)</dc:creator>
  <cp:keywords/>
  <dc:description/>
  <cp:lastModifiedBy>Giek, Barbara (DTA)</cp:lastModifiedBy>
  <cp:revision>13</cp:revision>
  <cp:lastPrinted>2020-04-02T23:31:00Z</cp:lastPrinted>
  <dcterms:created xsi:type="dcterms:W3CDTF">2020-07-03T13:37:00Z</dcterms:created>
  <dcterms:modified xsi:type="dcterms:W3CDTF">2020-07-13T15:37:00Z</dcterms:modified>
</cp:coreProperties>
</file>